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8887118" w:displacedByCustomXml="next"/>
    <w:bookmarkStart w:id="1" w:name="_Hlk228887101" w:displacedByCustomXml="next"/>
    <w:sdt>
      <w:sdtPr>
        <w:rPr>
          <w:rFonts w:ascii="Calibri" w:eastAsia="Calibri" w:hAnsi="Calibri" w:cs="Calibri"/>
          <w:bCs/>
          <w:color w:val="170E5E"/>
          <w:sz w:val="44"/>
          <w:szCs w:val="44"/>
          <w:lang w:val="en-US"/>
        </w:rPr>
        <w:alias w:val="Title"/>
        <w:tag w:val=""/>
        <w:id w:val="1522194587"/>
        <w:placeholder>
          <w:docPart w:val="8B347EF17A034A0CB41B3B3C385351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EEA68BF" w14:textId="35F1484C" w:rsidR="00000FB6" w:rsidRDefault="00105F9F" w:rsidP="00000FB6">
          <w:pPr>
            <w:pStyle w:val="Title"/>
          </w:pPr>
          <w:r w:rsidRPr="00105F9F">
            <w:rPr>
              <w:rFonts w:ascii="Calibri" w:eastAsia="Calibri" w:hAnsi="Calibri" w:cs="Calibri"/>
              <w:bCs/>
              <w:color w:val="170E5E"/>
              <w:sz w:val="44"/>
              <w:szCs w:val="44"/>
              <w:lang w:val="en-US"/>
            </w:rPr>
            <w:t>Confidentiality of levy information and documents</w:t>
          </w:r>
        </w:p>
      </w:sdtContent>
    </w:sdt>
    <w:bookmarkEnd w:id="0"/>
    <w:p w14:paraId="101DE4F8" w14:textId="77777777" w:rsidR="007C5153" w:rsidRPr="007C5153" w:rsidRDefault="00105F9F" w:rsidP="007C5153">
      <w:pPr>
        <w:pStyle w:val="ImportantInfo"/>
      </w:pPr>
      <w:r>
        <w:rPr>
          <w:b/>
        </w:rPr>
        <w:t xml:space="preserve">Note: </w:t>
      </w:r>
      <w:r w:rsidR="007C5153" w:rsidRPr="007C5153">
        <w:t xml:space="preserve">Sections </w:t>
      </w:r>
      <w:r w:rsidR="007C5153" w:rsidRPr="007C5153">
        <w:rPr>
          <w:b/>
        </w:rPr>
        <w:t>97 and 98 of the Fire and Emergency New Zealand Act 2017</w:t>
      </w:r>
      <w:r w:rsidR="007C5153" w:rsidRPr="007C5153">
        <w:t xml:space="preserve"> (“Act”) govern the confidentiality, use, and disclosure of information and documents provided to Fire and Emergency New Zealand (“Fire and Emergency”) for levy purposes.</w:t>
      </w:r>
    </w:p>
    <w:p w14:paraId="65E5BEE8" w14:textId="77777777" w:rsidR="007C5153" w:rsidRPr="007C5153" w:rsidRDefault="007C5153" w:rsidP="007C5153">
      <w:pPr>
        <w:pStyle w:val="ImportantInfo"/>
      </w:pPr>
      <w:r w:rsidRPr="007C5153">
        <w:t>These provisions apply to:</w:t>
      </w:r>
    </w:p>
    <w:p w14:paraId="39D9A8B1" w14:textId="77777777" w:rsidR="007C5153" w:rsidRPr="007C5153" w:rsidRDefault="007C5153" w:rsidP="007C5153">
      <w:pPr>
        <w:pStyle w:val="ImportantInfo"/>
        <w:numPr>
          <w:ilvl w:val="0"/>
          <w:numId w:val="29"/>
        </w:numPr>
      </w:pPr>
      <w:r w:rsidRPr="007C5153">
        <w:t>Information and documents provided in relation to the levy; and</w:t>
      </w:r>
    </w:p>
    <w:p w14:paraId="6E29630B" w14:textId="77777777" w:rsidR="007C5153" w:rsidRPr="007C5153" w:rsidRDefault="007C5153" w:rsidP="007C5153">
      <w:pPr>
        <w:pStyle w:val="ImportantInfo"/>
        <w:numPr>
          <w:ilvl w:val="0"/>
          <w:numId w:val="29"/>
        </w:numPr>
      </w:pPr>
      <w:r w:rsidRPr="007C5153">
        <w:t>Information derived from that information or those documents.</w:t>
      </w:r>
    </w:p>
    <w:p w14:paraId="44C9878B" w14:textId="77777777" w:rsidR="007C5153" w:rsidRPr="007C5153" w:rsidRDefault="007C5153" w:rsidP="007C5153">
      <w:pPr>
        <w:pStyle w:val="ImportantInfo"/>
      </w:pPr>
      <w:r w:rsidRPr="007C5153">
        <w:t>Section 97 restricts disclosure of levy information except in specified circumstances, and section 98 enables Fire and Emergency to impose conditions on any disclosure of that information.</w:t>
      </w:r>
    </w:p>
    <w:p w14:paraId="0261C4BA" w14:textId="35260425" w:rsidR="007C5153" w:rsidRPr="007C5153" w:rsidRDefault="007C5153" w:rsidP="007C5153">
      <w:pPr>
        <w:pStyle w:val="ImportantInfo"/>
      </w:pPr>
      <w:r w:rsidRPr="007C5153">
        <w:t xml:space="preserve">From </w:t>
      </w:r>
      <w:r w:rsidRPr="007C5153">
        <w:rPr>
          <w:b/>
        </w:rPr>
        <w:t>1 July 2026</w:t>
      </w:r>
      <w:r w:rsidRPr="007C5153">
        <w:t xml:space="preserve">, all levy information is governed by </w:t>
      </w:r>
      <w:r w:rsidRPr="007C5153">
        <w:rPr>
          <w:b/>
        </w:rPr>
        <w:t>Part 3 of the Act</w:t>
      </w:r>
      <w:r w:rsidR="00632D58">
        <w:rPr>
          <w:b/>
        </w:rPr>
        <w:t xml:space="preserve">. </w:t>
      </w:r>
    </w:p>
    <w:bookmarkEnd w:id="1"/>
    <w:p w14:paraId="41C139BC" w14:textId="7BC4D641" w:rsidR="0044229E" w:rsidRDefault="00E7318F" w:rsidP="00BC547B">
      <w:pPr>
        <w:pStyle w:val="Heading1"/>
      </w:pPr>
      <w:r>
        <w:t>Introduction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677"/>
      </w:tblGrid>
      <w:tr w:rsidR="00A60CBA" w14:paraId="76CBE0ED" w14:textId="77777777" w:rsidTr="00807B49">
        <w:trPr>
          <w:cantSplit/>
        </w:trPr>
        <w:tc>
          <w:tcPr>
            <w:tcW w:w="1961" w:type="dxa"/>
          </w:tcPr>
          <w:p w14:paraId="2CD0ACAD" w14:textId="77777777" w:rsidR="00A60CBA" w:rsidRDefault="00E7318F" w:rsidP="00A60CBA">
            <w:pPr>
              <w:pStyle w:val="BlockLabel"/>
            </w:pPr>
            <w:r>
              <w:t>When to use</w:t>
            </w:r>
          </w:p>
        </w:tc>
        <w:tc>
          <w:tcPr>
            <w:tcW w:w="7677" w:type="dxa"/>
          </w:tcPr>
          <w:p w14:paraId="0782A77A" w14:textId="5C4C69AA" w:rsidR="00807B49" w:rsidRPr="00807B49" w:rsidRDefault="00807B49" w:rsidP="00807B49">
            <w:r w:rsidRPr="00807B49">
              <w:t>Use this policy to determine:</w:t>
            </w:r>
          </w:p>
          <w:p w14:paraId="3A5FB615" w14:textId="4A941979" w:rsidR="00807B49" w:rsidRPr="00807B49" w:rsidRDefault="00807B49" w:rsidP="00807B49">
            <w:pPr>
              <w:numPr>
                <w:ilvl w:val="0"/>
                <w:numId w:val="30"/>
              </w:numPr>
            </w:pPr>
            <w:r w:rsidRPr="00807B49">
              <w:t xml:space="preserve">What levy information or documents may be disclosed or published when a request </w:t>
            </w:r>
            <w:r w:rsidR="00A0485B">
              <w:t xml:space="preserve">for information </w:t>
            </w:r>
            <w:r w:rsidRPr="00807B49">
              <w:t>is received; and</w:t>
            </w:r>
          </w:p>
          <w:p w14:paraId="04D91767" w14:textId="77777777" w:rsidR="00807B49" w:rsidRPr="00807B49" w:rsidRDefault="00807B49" w:rsidP="00807B49">
            <w:pPr>
              <w:numPr>
                <w:ilvl w:val="0"/>
                <w:numId w:val="30"/>
              </w:numPr>
            </w:pPr>
            <w:r w:rsidRPr="00807B49">
              <w:t>What conditions (if any) should be imposed before disclosure of that information or those documents.</w:t>
            </w:r>
          </w:p>
          <w:p w14:paraId="23B87777" w14:textId="33FA99E1" w:rsidR="00E7318F" w:rsidRPr="00E7318F" w:rsidRDefault="00807B49" w:rsidP="00105F9F">
            <w:r w:rsidRPr="00807B49">
              <w:t xml:space="preserve">This policy does </w:t>
            </w:r>
            <w:r w:rsidRPr="00807B49">
              <w:rPr>
                <w:b/>
                <w:bCs/>
              </w:rPr>
              <w:t>not apply</w:t>
            </w:r>
            <w:r w:rsidRPr="00807B49">
              <w:t xml:space="preserve"> to requests from a person or their </w:t>
            </w:r>
            <w:r w:rsidRPr="00807B49">
              <w:rPr>
                <w:b/>
                <w:bCs/>
              </w:rPr>
              <w:t>authorised agent</w:t>
            </w:r>
            <w:r w:rsidRPr="00807B49">
              <w:t xml:space="preserve"> for their own levy information.</w:t>
            </w:r>
          </w:p>
        </w:tc>
      </w:tr>
      <w:tr w:rsidR="000C3939" w14:paraId="23C4A669" w14:textId="77777777" w:rsidTr="00807B49">
        <w:trPr>
          <w:cantSplit/>
          <w:trHeight w:val="80"/>
        </w:trPr>
        <w:tc>
          <w:tcPr>
            <w:tcW w:w="1961" w:type="dxa"/>
          </w:tcPr>
          <w:p w14:paraId="0680D5FE" w14:textId="456C06C4" w:rsidR="000C3939" w:rsidRDefault="000C3939" w:rsidP="00A60CBA">
            <w:pPr>
              <w:pStyle w:val="BlockLabel"/>
            </w:pPr>
          </w:p>
        </w:tc>
        <w:tc>
          <w:tcPr>
            <w:tcW w:w="7677" w:type="dxa"/>
          </w:tcPr>
          <w:p w14:paraId="2B6D8644" w14:textId="51C31E3E" w:rsidR="000C3939" w:rsidRDefault="000C3939" w:rsidP="00731DDF"/>
        </w:tc>
      </w:tr>
    </w:tbl>
    <w:p w14:paraId="63770186" w14:textId="4DD15580" w:rsidR="00807B49" w:rsidRPr="00E7318F" w:rsidRDefault="00807B49" w:rsidP="00807B49">
      <w:pPr>
        <w:pStyle w:val="Heading4"/>
      </w:pPr>
      <w:bookmarkStart w:id="2" w:name="_About_this_policy"/>
      <w:bookmarkEnd w:id="2"/>
      <w:r w:rsidRPr="0051076E">
        <w:t xml:space="preserve">This </w:t>
      </w:r>
      <w:r>
        <w:t>p</w:t>
      </w:r>
      <w:r w:rsidRPr="0051076E">
        <w:t xml:space="preserve">olicy is effective </w:t>
      </w:r>
      <w:r>
        <w:t xml:space="preserve">for contracts </w:t>
      </w:r>
      <w:r w:rsidR="00A0485B">
        <w:t xml:space="preserve">incepted </w:t>
      </w:r>
      <w:r>
        <w:t>from 1 July 2026.</w:t>
      </w:r>
    </w:p>
    <w:p w14:paraId="4A30DD77" w14:textId="21BB17D5" w:rsidR="00E7318F" w:rsidRDefault="00E7318F" w:rsidP="000D453A">
      <w:pPr>
        <w:pStyle w:val="Heading1"/>
      </w:pPr>
      <w:r>
        <w:t>About this policy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7679"/>
      </w:tblGrid>
      <w:tr w:rsidR="00E7318F" w14:paraId="11B4BE6C" w14:textId="77777777" w:rsidTr="00CE680D">
        <w:trPr>
          <w:cantSplit/>
        </w:trPr>
        <w:tc>
          <w:tcPr>
            <w:tcW w:w="1959" w:type="dxa"/>
          </w:tcPr>
          <w:p w14:paraId="4FACF778" w14:textId="77777777" w:rsidR="00E7318F" w:rsidRDefault="00E7318F" w:rsidP="00440913">
            <w:pPr>
              <w:pStyle w:val="BlockLabel"/>
            </w:pPr>
            <w:r>
              <w:t>Purpose</w:t>
            </w:r>
          </w:p>
        </w:tc>
        <w:tc>
          <w:tcPr>
            <w:tcW w:w="767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A935871" w14:textId="2115E947" w:rsidR="00E7318F" w:rsidRPr="00E7318F" w:rsidRDefault="00CD4862" w:rsidP="00CD4862">
            <w:r w:rsidRPr="00CD4862">
              <w:t>The purpose of this policy is to ensure that the confidentiality of levy information, including personal information, is maintained in accordance with the Act.</w:t>
            </w:r>
          </w:p>
        </w:tc>
      </w:tr>
      <w:tr w:rsidR="00E7318F" w14:paraId="5D794744" w14:textId="77777777" w:rsidTr="00CE680D">
        <w:trPr>
          <w:cantSplit/>
        </w:trPr>
        <w:tc>
          <w:tcPr>
            <w:tcW w:w="1959" w:type="dxa"/>
          </w:tcPr>
          <w:p w14:paraId="5DF9E0C4" w14:textId="77777777" w:rsidR="00E7318F" w:rsidRDefault="00E7318F" w:rsidP="00440913">
            <w:pPr>
              <w:pStyle w:val="BlockLabel"/>
            </w:pPr>
            <w:r>
              <w:t>Who it applies to</w:t>
            </w:r>
          </w:p>
        </w:tc>
        <w:tc>
          <w:tcPr>
            <w:tcW w:w="7679" w:type="dxa"/>
            <w:tcBorders>
              <w:top w:val="single" w:sz="6" w:space="0" w:color="A6A6A6" w:themeColor="background1" w:themeShade="A6"/>
              <w:bottom w:val="single" w:sz="6" w:space="0" w:color="auto"/>
            </w:tcBorders>
          </w:tcPr>
          <w:p w14:paraId="6A79D798" w14:textId="7449469D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 xml:space="preserve">DCE </w:t>
            </w:r>
            <w:r w:rsidR="00CD4862" w:rsidRPr="00A100DC">
              <w:rPr>
                <w:rFonts w:cstheme="minorHAnsi"/>
              </w:rPr>
              <w:t>Corporate Services</w:t>
            </w:r>
          </w:p>
          <w:p w14:paraId="5F50E065" w14:textId="44132156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 xml:space="preserve">Finance Director </w:t>
            </w:r>
          </w:p>
          <w:p w14:paraId="3CBD7E66" w14:textId="77C81E90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Levy Manager</w:t>
            </w:r>
          </w:p>
          <w:p w14:paraId="4CA6E49F" w14:textId="455846D7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Senior Levy Analyst</w:t>
            </w:r>
          </w:p>
          <w:p w14:paraId="399D923C" w14:textId="032757AF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Levy Analysts</w:t>
            </w:r>
          </w:p>
          <w:p w14:paraId="6CFFE5E8" w14:textId="2EDAFCC0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Levy Administrators</w:t>
            </w:r>
          </w:p>
          <w:p w14:paraId="3023D484" w14:textId="1E7C6CB0" w:rsidR="00CE680D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Levy Auditors</w:t>
            </w:r>
          </w:p>
          <w:p w14:paraId="4BDFA2E7" w14:textId="27B242F8" w:rsidR="00731DDF" w:rsidRPr="00A100DC" w:rsidRDefault="00CE680D" w:rsidP="00A100DC">
            <w:pPr>
              <w:pStyle w:val="Bullet1"/>
              <w:rPr>
                <w:rFonts w:cstheme="minorHAnsi"/>
              </w:rPr>
            </w:pPr>
            <w:r w:rsidRPr="00A100DC">
              <w:rPr>
                <w:rFonts w:cstheme="minorHAnsi"/>
              </w:rPr>
              <w:t>Anyone else who have access to levy information or documents held by Fire and Emergency.</w:t>
            </w:r>
          </w:p>
        </w:tc>
      </w:tr>
    </w:tbl>
    <w:p w14:paraId="10AFE342" w14:textId="7476588F" w:rsidR="00E7318F" w:rsidRDefault="00CE680D" w:rsidP="000D453A">
      <w:pPr>
        <w:pStyle w:val="Heading1"/>
      </w:pPr>
      <w:bookmarkStart w:id="3" w:name="_[Heading]"/>
      <w:bookmarkEnd w:id="3"/>
      <w:r w:rsidRPr="00CE680D">
        <w:t>Confidentiality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665"/>
      </w:tblGrid>
      <w:tr w:rsidR="00E7318F" w14:paraId="5717A31B" w14:textId="77777777" w:rsidTr="005B2701">
        <w:tc>
          <w:tcPr>
            <w:tcW w:w="1985" w:type="dxa"/>
          </w:tcPr>
          <w:p w14:paraId="46AE0F80" w14:textId="74048761" w:rsidR="00E7318F" w:rsidRDefault="00CE680D" w:rsidP="00440913">
            <w:pPr>
              <w:pStyle w:val="BlockLabel"/>
            </w:pPr>
            <w:r w:rsidRPr="00CE680D">
              <w:t xml:space="preserve">Types of information to be </w:t>
            </w:r>
            <w:r w:rsidRPr="00CE680D">
              <w:lastRenderedPageBreak/>
              <w:t>held as confidential</w:t>
            </w:r>
          </w:p>
        </w:tc>
        <w:tc>
          <w:tcPr>
            <w:tcW w:w="78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E1A908F" w14:textId="59415B7E" w:rsidR="00CD4862" w:rsidRPr="00CD4862" w:rsidRDefault="00CD4862" w:rsidP="00CD4862">
            <w:r w:rsidRPr="00CD4862">
              <w:lastRenderedPageBreak/>
              <w:t>Fire and Emergency must not publish or disclose levy information or documents provided under the levy provisions of the Act, including</w:t>
            </w:r>
            <w:r w:rsidR="00A0485B">
              <w:t xml:space="preserve"> but not limited to</w:t>
            </w:r>
            <w:r w:rsidRPr="00CD4862">
              <w:t>:</w:t>
            </w:r>
          </w:p>
          <w:p w14:paraId="7C288A4C" w14:textId="77777777" w:rsidR="00CD4862" w:rsidRPr="00CD4862" w:rsidRDefault="00CD4862" w:rsidP="00CD4862">
            <w:pPr>
              <w:numPr>
                <w:ilvl w:val="0"/>
                <w:numId w:val="31"/>
              </w:numPr>
            </w:pPr>
            <w:r w:rsidRPr="00CD4862">
              <w:lastRenderedPageBreak/>
              <w:t>Levy returns</w:t>
            </w:r>
          </w:p>
          <w:p w14:paraId="3A4E8956" w14:textId="77777777" w:rsidR="00CD4862" w:rsidRPr="00CD4862" w:rsidRDefault="00CD4862" w:rsidP="00CD4862">
            <w:pPr>
              <w:numPr>
                <w:ilvl w:val="0"/>
                <w:numId w:val="31"/>
              </w:numPr>
            </w:pPr>
            <w:r w:rsidRPr="00CD4862">
              <w:t>Levy records</w:t>
            </w:r>
          </w:p>
          <w:p w14:paraId="71F7684E" w14:textId="77777777" w:rsidR="00CD4862" w:rsidRPr="00CD4862" w:rsidRDefault="00CD4862" w:rsidP="00CD4862">
            <w:pPr>
              <w:numPr>
                <w:ilvl w:val="0"/>
                <w:numId w:val="31"/>
              </w:numPr>
            </w:pPr>
            <w:r w:rsidRPr="00CD4862">
              <w:t>Information obtained through levy audits</w:t>
            </w:r>
          </w:p>
          <w:p w14:paraId="3B695DCA" w14:textId="77777777" w:rsidR="00CD4862" w:rsidRPr="00CD4862" w:rsidRDefault="00CD4862" w:rsidP="00CD4862">
            <w:pPr>
              <w:numPr>
                <w:ilvl w:val="0"/>
                <w:numId w:val="31"/>
              </w:numPr>
            </w:pPr>
            <w:r w:rsidRPr="00CD4862">
              <w:t>Additional information provided in relation to levy obligations</w:t>
            </w:r>
          </w:p>
          <w:p w14:paraId="543FE61F" w14:textId="77777777" w:rsidR="00CD4862" w:rsidRPr="00CD4862" w:rsidRDefault="00CD4862" w:rsidP="00CD4862">
            <w:pPr>
              <w:numPr>
                <w:ilvl w:val="0"/>
                <w:numId w:val="31"/>
              </w:numPr>
            </w:pPr>
            <w:r w:rsidRPr="00CD4862">
              <w:t>Information derived from any levy information or documents</w:t>
            </w:r>
          </w:p>
          <w:p w14:paraId="664A9A8B" w14:textId="5EBD8C35" w:rsidR="00731DDF" w:rsidRDefault="00CD4862" w:rsidP="00CD4862">
            <w:r w:rsidRPr="00CD4862">
              <w:t>All levy information and documents held by Fire and Emergency are subject to the confidentiality requirements in section 97 of the Act, regardless of when they were received</w:t>
            </w:r>
            <w:r w:rsidR="00A0485B">
              <w:t>.</w:t>
            </w:r>
          </w:p>
        </w:tc>
      </w:tr>
      <w:tr w:rsidR="00E7318F" w14:paraId="27D024C9" w14:textId="77777777" w:rsidTr="005B2701">
        <w:tc>
          <w:tcPr>
            <w:tcW w:w="1985" w:type="dxa"/>
          </w:tcPr>
          <w:p w14:paraId="40D93021" w14:textId="1260A734" w:rsidR="00E7318F" w:rsidRDefault="00CE680D" w:rsidP="00440913">
            <w:pPr>
              <w:pStyle w:val="BlockLabel"/>
            </w:pPr>
            <w:r w:rsidRPr="00CE680D">
              <w:lastRenderedPageBreak/>
              <w:t>Exceptions to confidentiality</w:t>
            </w:r>
          </w:p>
        </w:tc>
        <w:tc>
          <w:tcPr>
            <w:tcW w:w="78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67183C5A" w14:textId="2E397643" w:rsidR="00E7318F" w:rsidRDefault="00CD4862" w:rsidP="00CD4862">
            <w:r w:rsidRPr="00CD4862">
              <w:t>Section 97(2) of the Act provides limited exceptions where disclosure may occur. Fire and Emergency may publish or disclose levy information only in the circumstances outlined below.</w:t>
            </w:r>
          </w:p>
        </w:tc>
      </w:tr>
      <w:tr w:rsidR="00CE680D" w14:paraId="3C630912" w14:textId="77777777" w:rsidTr="005B2701">
        <w:tc>
          <w:tcPr>
            <w:tcW w:w="1985" w:type="dxa"/>
            <w:tcBorders>
              <w:bottom w:val="single" w:sz="4" w:space="0" w:color="FFFFFF" w:themeColor="background1"/>
            </w:tcBorders>
          </w:tcPr>
          <w:p w14:paraId="3CEAB042" w14:textId="6DEF9E95" w:rsidR="00CE680D" w:rsidRPr="00CE680D" w:rsidRDefault="00CE680D" w:rsidP="00440913">
            <w:pPr>
              <w:pStyle w:val="BlockLabel"/>
            </w:pPr>
            <w:r w:rsidRPr="00CE680D">
              <w:t>Disclosure of information</w:t>
            </w:r>
          </w:p>
        </w:tc>
        <w:tc>
          <w:tcPr>
            <w:tcW w:w="7830" w:type="dxa"/>
            <w:tcBorders>
              <w:top w:val="single" w:sz="6" w:space="0" w:color="A6A6A6" w:themeColor="background1" w:themeShade="A6"/>
              <w:bottom w:val="single" w:sz="4" w:space="0" w:color="FFFFFF" w:themeColor="background1"/>
            </w:tcBorders>
          </w:tcPr>
          <w:p w14:paraId="1278B922" w14:textId="0FC29978" w:rsidR="005B2701" w:rsidRPr="00CE680D" w:rsidRDefault="005B2701" w:rsidP="005B2701">
            <w:r w:rsidRPr="005B2701">
              <w:t>Fire and Emergency must not publish or disclose levy information or document</w:t>
            </w:r>
            <w:r w:rsidR="00CD4862">
              <w:t xml:space="preserve"> unless permitted by</w:t>
            </w:r>
            <w:r w:rsidRPr="005B2701">
              <w:t xml:space="preserve"> the Act</w:t>
            </w:r>
            <w:r w:rsidR="00CD4862">
              <w:t>.</w:t>
            </w:r>
          </w:p>
        </w:tc>
      </w:tr>
    </w:tbl>
    <w:tbl>
      <w:tblPr>
        <w:tblW w:w="10440" w:type="dxa"/>
        <w:tblInd w:w="-365" w:type="dxa"/>
        <w:tblBorders>
          <w:top w:val="single" w:sz="2" w:space="0" w:color="F6F6F6"/>
          <w:left w:val="single" w:sz="2" w:space="0" w:color="F6F6F6"/>
          <w:bottom w:val="single" w:sz="2" w:space="0" w:color="F6F6F6"/>
          <w:right w:val="single" w:sz="2" w:space="0" w:color="F6F6F6"/>
          <w:insideH w:val="single" w:sz="2" w:space="0" w:color="F6F6F6"/>
          <w:insideV w:val="single" w:sz="2" w:space="0" w:color="F6F6F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40"/>
        <w:gridCol w:w="1080"/>
        <w:gridCol w:w="2880"/>
        <w:gridCol w:w="3240"/>
      </w:tblGrid>
      <w:tr w:rsidR="005B2701" w14:paraId="1502F645" w14:textId="77777777" w:rsidTr="00A649DD">
        <w:trPr>
          <w:tblHeader/>
        </w:trPr>
        <w:tc>
          <w:tcPr>
            <w:tcW w:w="3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BD3C24E" w14:textId="7A4345A3" w:rsidR="005B2701" w:rsidRDefault="005B2701" w:rsidP="005B2701">
            <w:pPr>
              <w:pStyle w:val="TableHeading"/>
            </w:pPr>
            <w:bookmarkStart w:id="4" w:name="_[Heading]_1"/>
            <w:bookmarkStart w:id="5" w:name="Exceptions"/>
            <w:bookmarkEnd w:id="4"/>
            <w:bookmarkEnd w:id="5"/>
            <w:r>
              <w:t>Summary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provisions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5D1F1AA" w14:textId="35796D57" w:rsidR="005B2701" w:rsidRDefault="005B2701" w:rsidP="005B2701">
            <w:pPr>
              <w:pStyle w:val="TableHeading"/>
            </w:pPr>
            <w:r>
              <w:t>Section</w:t>
            </w:r>
            <w:r>
              <w:rPr>
                <w:spacing w:val="-12"/>
              </w:rPr>
              <w:t xml:space="preserve"> </w:t>
            </w:r>
            <w:r>
              <w:t>of the Act</w:t>
            </w:r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3103F7" w14:textId="2939059E" w:rsidR="005B2701" w:rsidRDefault="005B2701" w:rsidP="005B2701">
            <w:pPr>
              <w:pStyle w:val="TableHeading"/>
            </w:pPr>
            <w:r>
              <w:t>Example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what 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disclose</w:t>
            </w:r>
          </w:p>
        </w:tc>
        <w:tc>
          <w:tcPr>
            <w:tcW w:w="3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D71E249" w14:textId="6121948D" w:rsidR="005B2701" w:rsidRDefault="005B2701" w:rsidP="005B2701">
            <w:pPr>
              <w:pStyle w:val="TableHeading"/>
            </w:pPr>
            <w:r>
              <w:t>Example of what you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cannot</w:t>
            </w:r>
            <w:r>
              <w:rPr>
                <w:b/>
                <w:spacing w:val="-11"/>
              </w:rPr>
              <w:t xml:space="preserve"> </w:t>
            </w:r>
            <w:r>
              <w:t>disclose</w:t>
            </w:r>
          </w:p>
        </w:tc>
      </w:tr>
      <w:tr w:rsidR="005B2701" w14:paraId="24476476" w14:textId="77777777" w:rsidTr="00A649DD">
        <w:tc>
          <w:tcPr>
            <w:tcW w:w="3240" w:type="dxa"/>
            <w:tcBorders>
              <w:top w:val="single" w:sz="4" w:space="0" w:color="FFFFFF" w:themeColor="background1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6E69ED" w14:textId="77A4900D" w:rsidR="005B2701" w:rsidRDefault="00CD4862" w:rsidP="005C2D95">
            <w:pPr>
              <w:pStyle w:val="TableText"/>
            </w:pPr>
            <w:r>
              <w:t>Information is publicly available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E26C76" w14:textId="77777777" w:rsidR="005B2701" w:rsidRDefault="002A1EAF" w:rsidP="005C2D95">
            <w:pPr>
              <w:pStyle w:val="TableText"/>
            </w:pPr>
            <w:hyperlink r:id="rId8">
              <w:r w:rsidR="005B2701">
                <w:rPr>
                  <w:color w:val="0000FF"/>
                  <w:spacing w:val="-2"/>
                  <w:u w:val="single" w:color="0000FF"/>
                </w:rPr>
                <w:t>97(2)(a)</w:t>
              </w:r>
            </w:hyperlink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67A9A8" w14:textId="1A9A0505" w:rsidR="005B2701" w:rsidRDefault="005B2701" w:rsidP="005C2D95">
            <w:pPr>
              <w:pStyle w:val="TableText"/>
            </w:pPr>
            <w:r>
              <w:t>Information</w:t>
            </w:r>
            <w:r>
              <w:rPr>
                <w:spacing w:val="-12"/>
              </w:rPr>
              <w:t xml:space="preserve"> </w:t>
            </w:r>
            <w:r w:rsidR="00CD4862">
              <w:t>already in the public domain</w:t>
            </w:r>
          </w:p>
        </w:tc>
        <w:tc>
          <w:tcPr>
            <w:tcW w:w="3240" w:type="dxa"/>
            <w:tcBorders>
              <w:top w:val="single" w:sz="4" w:space="0" w:color="FFFFFF" w:themeColor="background1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E4741E" w14:textId="25166E30" w:rsidR="005B2701" w:rsidRDefault="00CD4862" w:rsidP="005C2D95">
            <w:pPr>
              <w:pStyle w:val="TableText"/>
            </w:pPr>
            <w:r>
              <w:t>Confidential le</w:t>
            </w:r>
            <w:r w:rsidR="000C3939">
              <w:t>v</w:t>
            </w:r>
            <w:r>
              <w:t>y returns or records</w:t>
            </w:r>
          </w:p>
        </w:tc>
      </w:tr>
      <w:tr w:rsidR="005B2701" w14:paraId="4F23D0B1" w14:textId="77777777" w:rsidTr="00A649DD">
        <w:tc>
          <w:tcPr>
            <w:tcW w:w="324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49F201B1" w14:textId="12A42B46" w:rsidR="005B2701" w:rsidRDefault="00CD4862" w:rsidP="00CD4862">
            <w:pPr>
              <w:pStyle w:val="TableText"/>
            </w:pPr>
            <w:r>
              <w:t>I</w:t>
            </w:r>
            <w:r w:rsidR="005B2701">
              <w:t>nformation</w:t>
            </w:r>
            <w:r w:rsidR="005B2701">
              <w:rPr>
                <w:spacing w:val="-3"/>
              </w:rPr>
              <w:t xml:space="preserve"> </w:t>
            </w:r>
            <w:r w:rsidR="005B2701">
              <w:t>is</w:t>
            </w:r>
            <w:r w:rsidR="005B2701">
              <w:rPr>
                <w:spacing w:val="-5"/>
              </w:rPr>
              <w:t xml:space="preserve"> </w:t>
            </w:r>
            <w:r w:rsidR="005B2701">
              <w:t>statistical</w:t>
            </w:r>
            <w:r w:rsidR="005B2701">
              <w:rPr>
                <w:spacing w:val="-8"/>
              </w:rPr>
              <w:t xml:space="preserve"> </w:t>
            </w:r>
            <w:r w:rsidR="005B2701">
              <w:t>or</w:t>
            </w:r>
            <w:r w:rsidR="005B2701">
              <w:rPr>
                <w:spacing w:val="-3"/>
              </w:rPr>
              <w:t xml:space="preserve"> </w:t>
            </w:r>
            <w:r w:rsidR="005B2701">
              <w:t>summary</w:t>
            </w:r>
            <w:r w:rsidR="005B2701">
              <w:rPr>
                <w:spacing w:val="-8"/>
              </w:rPr>
              <w:t xml:space="preserve"> </w:t>
            </w:r>
            <w:r>
              <w:rPr>
                <w:spacing w:val="-8"/>
              </w:rPr>
              <w:t>in nature</w:t>
            </w:r>
            <w:r w:rsidR="005B2701">
              <w:rPr>
                <w:spacing w:val="-2"/>
              </w:rPr>
              <w:t>.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6437D198" w14:textId="77777777" w:rsidR="005B2701" w:rsidRDefault="002A1EAF" w:rsidP="005C2D95">
            <w:pPr>
              <w:pStyle w:val="TableText"/>
            </w:pPr>
            <w:hyperlink r:id="rId9">
              <w:r w:rsidR="005B2701">
                <w:rPr>
                  <w:color w:val="0000FF"/>
                  <w:spacing w:val="-2"/>
                  <w:u w:val="single" w:color="0000FF"/>
                </w:rPr>
                <w:t>97(2)(b)</w:t>
              </w:r>
            </w:hyperlink>
          </w:p>
        </w:tc>
        <w:tc>
          <w:tcPr>
            <w:tcW w:w="288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6F4E0D4" w14:textId="26A6B434" w:rsidR="005B2701" w:rsidRDefault="00CD4862" w:rsidP="005B2701">
            <w:pPr>
              <w:pStyle w:val="TableText"/>
            </w:pPr>
            <w:r>
              <w:t>Aggregated totals across multiple entities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1549E6B1" w14:textId="54C5049B" w:rsidR="005B2701" w:rsidRDefault="00CD4862" w:rsidP="005B2701">
            <w:pPr>
              <w:pStyle w:val="TableText"/>
            </w:pPr>
            <w:r>
              <w:t>Information relating to an identifiable individual or entity</w:t>
            </w:r>
          </w:p>
        </w:tc>
      </w:tr>
      <w:tr w:rsidR="009D34F1" w14:paraId="0DAB8D10" w14:textId="77777777" w:rsidTr="00CD4862">
        <w:trPr>
          <w:trHeight w:val="1457"/>
        </w:trPr>
        <w:tc>
          <w:tcPr>
            <w:tcW w:w="324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2C09FF94" w14:textId="36717BCF" w:rsidR="009D34F1" w:rsidRDefault="00CD4862" w:rsidP="00CD4862">
            <w:pPr>
              <w:pStyle w:val="TableText"/>
            </w:pPr>
            <w:r w:rsidRPr="00CD4862">
              <w:t>Disclosure is necessary to perform a statutory function, duty, or power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169E8C1D" w14:textId="496157C8" w:rsidR="009D34F1" w:rsidRPr="00CD4862" w:rsidRDefault="002A1EAF" w:rsidP="005C2D95">
            <w:pPr>
              <w:pStyle w:val="TableText"/>
              <w:rPr>
                <w:color w:val="0000FF"/>
                <w:spacing w:val="-2"/>
                <w:u w:val="single" w:color="0000FF"/>
              </w:rPr>
            </w:pPr>
            <w:hyperlink r:id="rId10">
              <w:r w:rsidR="009D34F1">
                <w:rPr>
                  <w:color w:val="0000FF"/>
                  <w:spacing w:val="-2"/>
                  <w:u w:val="single" w:color="0000FF"/>
                </w:rPr>
                <w:t>97(2)(c)</w:t>
              </w:r>
            </w:hyperlink>
          </w:p>
        </w:tc>
        <w:tc>
          <w:tcPr>
            <w:tcW w:w="288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9C6BB67" w14:textId="77777777" w:rsidR="009D34F1" w:rsidRDefault="00CD4862" w:rsidP="00CD4862">
            <w:pPr>
              <w:pStyle w:val="TableText"/>
            </w:pPr>
            <w:r w:rsidRPr="00CD4862">
              <w:t>Providing information to an external adviser acting on behalf of Fire and Emergency</w:t>
            </w:r>
            <w:r w:rsidRPr="00CD4862">
              <w:br/>
              <w:t>Providing information to another agency for statutory purposes</w:t>
            </w:r>
          </w:p>
          <w:p w14:paraId="3B0F9613" w14:textId="120DF961" w:rsidR="005F58C8" w:rsidRDefault="005F58C8" w:rsidP="00CD4862">
            <w:pPr>
              <w:pStyle w:val="TableText"/>
            </w:pPr>
            <w:r>
              <w:t>Providing relevant information to a court or other party to litigation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5FFD261A" w14:textId="460449B5" w:rsidR="009D34F1" w:rsidRDefault="00CD4862" w:rsidP="00CD4862">
            <w:pPr>
              <w:pStyle w:val="TableText"/>
            </w:pPr>
            <w:r w:rsidRPr="00CD4862">
              <w:rPr>
                <w:spacing w:val="-2"/>
              </w:rPr>
              <w:t>Providing information where there is no statutory purpose</w:t>
            </w:r>
          </w:p>
        </w:tc>
      </w:tr>
      <w:tr w:rsidR="005B2701" w14:paraId="381A45D2" w14:textId="77777777" w:rsidTr="00CD4862">
        <w:trPr>
          <w:trHeight w:val="571"/>
        </w:trPr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ED44A0" w14:textId="4466DA7D" w:rsidR="005B2701" w:rsidRDefault="00CD4862" w:rsidP="00CD4862">
            <w:pPr>
              <w:pStyle w:val="TableText"/>
            </w:pPr>
            <w:r w:rsidRPr="00CD4862">
              <w:t>Disclosure is to a person with a proper interest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6E85F0" w14:textId="77777777" w:rsidR="005B2701" w:rsidRDefault="002A1EAF" w:rsidP="005C2D95">
            <w:pPr>
              <w:pStyle w:val="TableText"/>
            </w:pPr>
            <w:hyperlink r:id="rId11">
              <w:r w:rsidR="005B2701">
                <w:rPr>
                  <w:color w:val="0000FF"/>
                  <w:spacing w:val="-2"/>
                  <w:u w:val="single" w:color="0000FF"/>
                </w:rPr>
                <w:t>97(2)(d)</w:t>
              </w:r>
            </w:hyperlink>
          </w:p>
        </w:tc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1543E6" w14:textId="38D8CBD2" w:rsidR="005B2701" w:rsidRDefault="00CD4862" w:rsidP="00CD4862">
            <w:pPr>
              <w:pStyle w:val="TableText"/>
            </w:pPr>
            <w:r w:rsidRPr="00CD4862">
              <w:t>Providing information to a broker with valid written authority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DA7DD5" w14:textId="70100C08" w:rsidR="005B2701" w:rsidRDefault="00CD4862" w:rsidP="00CD4862">
            <w:pPr>
              <w:pStyle w:val="TableText"/>
            </w:pPr>
            <w:r w:rsidRPr="00CD4862">
              <w:t>Providing information without evidence of authority</w:t>
            </w:r>
          </w:p>
        </w:tc>
      </w:tr>
      <w:tr w:rsidR="005B2701" w14:paraId="4CB2C0FC" w14:textId="77777777" w:rsidTr="00A649DD"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F5636D" w14:textId="434CD28C" w:rsidR="005B2701" w:rsidRDefault="00CD4862" w:rsidP="00A100DC">
            <w:pPr>
              <w:pStyle w:val="TableText"/>
            </w:pPr>
            <w:r w:rsidRPr="00CD4862">
              <w:t>Disclosure is made with consent of the person concerned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F43A24" w14:textId="77777777" w:rsidR="005B2701" w:rsidRDefault="002A1EAF" w:rsidP="005C2D95">
            <w:pPr>
              <w:pStyle w:val="TableText"/>
            </w:pPr>
            <w:hyperlink r:id="rId12">
              <w:r w:rsidR="005B2701">
                <w:rPr>
                  <w:color w:val="0000FF"/>
                  <w:spacing w:val="-2"/>
                  <w:u w:val="single" w:color="0000FF"/>
                </w:rPr>
                <w:t>97(2)(e)</w:t>
              </w:r>
            </w:hyperlink>
          </w:p>
        </w:tc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67665A" w14:textId="199C60A8" w:rsidR="005B2701" w:rsidRDefault="00CD4862" w:rsidP="00CD4862">
            <w:pPr>
              <w:pStyle w:val="TableText"/>
            </w:pPr>
            <w:r w:rsidRPr="00CD4862">
              <w:t>Releasing information with written consent from the relevant person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DF81F1" w14:textId="77777777" w:rsidR="00CD4862" w:rsidRPr="00CD4862" w:rsidRDefault="00CD4862" w:rsidP="00CD4862">
            <w:pPr>
              <w:pStyle w:val="TableText"/>
              <w:rPr>
                <w:spacing w:val="-2"/>
              </w:rPr>
            </w:pPr>
            <w:r w:rsidRPr="00CD4862">
              <w:rPr>
                <w:spacing w:val="-2"/>
              </w:rPr>
              <w:t>Releasing information without consent</w:t>
            </w:r>
          </w:p>
          <w:p w14:paraId="47CE3421" w14:textId="6598180C" w:rsidR="005B2701" w:rsidRDefault="005B2701" w:rsidP="005C2D95">
            <w:pPr>
              <w:pStyle w:val="TableText"/>
            </w:pPr>
          </w:p>
        </w:tc>
      </w:tr>
    </w:tbl>
    <w:p w14:paraId="7C35D0E7" w14:textId="38AF1E10" w:rsidR="00CD4862" w:rsidRPr="00CD4862" w:rsidRDefault="00CD4862" w:rsidP="00CD4862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CD4862">
        <w:rPr>
          <w:rFonts w:eastAsiaTheme="minorHAnsi" w:cstheme="minorBidi"/>
          <w:b w:val="0"/>
          <w:color w:val="auto"/>
          <w:sz w:val="22"/>
          <w:szCs w:val="22"/>
        </w:rPr>
        <w:t>Important:</w:t>
      </w:r>
      <w:r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r w:rsidRPr="00CD4862">
        <w:rPr>
          <w:rFonts w:eastAsiaTheme="minorHAnsi" w:cstheme="minorBidi"/>
          <w:b w:val="0"/>
          <w:color w:val="auto"/>
          <w:sz w:val="22"/>
          <w:szCs w:val="22"/>
        </w:rPr>
        <w:t>Where disclosure is made under section 97(2)(c), Fire and Emergency must ensure that appropriate safeguards are in place, particularly to protect personal information under the Privacy Act 2020</w:t>
      </w:r>
    </w:p>
    <w:p w14:paraId="771FEF8F" w14:textId="6F430DFF" w:rsidR="00731DDF" w:rsidRDefault="00A649DD" w:rsidP="000D453A">
      <w:pPr>
        <w:pStyle w:val="Heading1"/>
      </w:pPr>
      <w:r w:rsidRPr="00A649DD">
        <w:t>Publication</w:t>
      </w:r>
      <w:r w:rsidR="00CD4862">
        <w:t xml:space="preserve"> and conditions of disclosure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7671"/>
      </w:tblGrid>
      <w:tr w:rsidR="00731DDF" w14:paraId="13A1BC7D" w14:textId="77777777" w:rsidTr="00A649DD">
        <w:trPr>
          <w:cantSplit/>
        </w:trPr>
        <w:tc>
          <w:tcPr>
            <w:tcW w:w="1967" w:type="dxa"/>
          </w:tcPr>
          <w:p w14:paraId="1F36382A" w14:textId="3EA29A8A" w:rsidR="00731DDF" w:rsidRDefault="00CD4862" w:rsidP="00440913">
            <w:pPr>
              <w:pStyle w:val="BlockLabel"/>
            </w:pPr>
            <w:r>
              <w:t>Imposing conditions</w:t>
            </w:r>
          </w:p>
        </w:tc>
        <w:tc>
          <w:tcPr>
            <w:tcW w:w="7671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E15566E" w14:textId="15040B5F" w:rsidR="00731DDF" w:rsidRDefault="00CD4862" w:rsidP="000D453A">
            <w:r w:rsidRPr="00CD4862">
              <w:t>Under section 98 of the Act, Fire and Emergency may impose conditions on any person to whom levy information or documents are disclose</w:t>
            </w:r>
            <w:r>
              <w:t>d</w:t>
            </w:r>
          </w:p>
        </w:tc>
      </w:tr>
    </w:tbl>
    <w:tbl>
      <w:tblPr>
        <w:tblW w:w="9900" w:type="dxa"/>
        <w:tblInd w:w="-180" w:type="dxa"/>
        <w:tblBorders>
          <w:top w:val="single" w:sz="2" w:space="0" w:color="F6F6F6"/>
          <w:left w:val="single" w:sz="2" w:space="0" w:color="F6F6F6"/>
          <w:bottom w:val="single" w:sz="2" w:space="0" w:color="F6F6F6"/>
          <w:right w:val="single" w:sz="2" w:space="0" w:color="F6F6F6"/>
          <w:insideH w:val="single" w:sz="2" w:space="0" w:color="F6F6F6"/>
          <w:insideV w:val="single" w:sz="2" w:space="0" w:color="F6F6F6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16"/>
        <w:gridCol w:w="1984"/>
        <w:gridCol w:w="3600"/>
      </w:tblGrid>
      <w:tr w:rsidR="00A649DD" w14:paraId="7CD99B5C" w14:textId="77777777" w:rsidTr="00A649DD">
        <w:tc>
          <w:tcPr>
            <w:tcW w:w="4316" w:type="dxa"/>
            <w:tcBorders>
              <w:left w:val="nil"/>
              <w:bottom w:val="single" w:sz="4" w:space="0" w:color="A6A6A6"/>
            </w:tcBorders>
            <w:shd w:val="clear" w:color="auto" w:fill="EDEDEC"/>
          </w:tcPr>
          <w:p w14:paraId="5896EC9A" w14:textId="77777777" w:rsidR="00A649DD" w:rsidRDefault="00A649DD" w:rsidP="00A649DD">
            <w:pPr>
              <w:pStyle w:val="TableHeading"/>
            </w:pPr>
            <w:r>
              <w:t>Summary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provision</w:t>
            </w:r>
          </w:p>
        </w:tc>
        <w:tc>
          <w:tcPr>
            <w:tcW w:w="1984" w:type="dxa"/>
            <w:tcBorders>
              <w:bottom w:val="single" w:sz="4" w:space="0" w:color="A6A6A6"/>
            </w:tcBorders>
            <w:shd w:val="clear" w:color="auto" w:fill="EDEDEC"/>
          </w:tcPr>
          <w:p w14:paraId="30FFC61C" w14:textId="77777777" w:rsidR="00A649DD" w:rsidRDefault="00A649DD" w:rsidP="00A649DD">
            <w:pPr>
              <w:pStyle w:val="TableHeading"/>
            </w:pPr>
            <w:r>
              <w:t>Section</w:t>
            </w:r>
            <w:r>
              <w:rPr>
                <w:spacing w:val="-12"/>
              </w:rPr>
              <w:t xml:space="preserve"> </w:t>
            </w:r>
            <w:r>
              <w:t>of the Act</w:t>
            </w:r>
          </w:p>
        </w:tc>
        <w:tc>
          <w:tcPr>
            <w:tcW w:w="3600" w:type="dxa"/>
            <w:tcBorders>
              <w:bottom w:val="single" w:sz="4" w:space="0" w:color="A6A6A6"/>
            </w:tcBorders>
            <w:shd w:val="clear" w:color="auto" w:fill="EDEDEC"/>
          </w:tcPr>
          <w:p w14:paraId="5F5FE4CE" w14:textId="77777777" w:rsidR="00A649DD" w:rsidRDefault="00A649DD" w:rsidP="00A649DD">
            <w:pPr>
              <w:pStyle w:val="TableHeading"/>
            </w:pPr>
            <w:r>
              <w:t>Example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conditions</w:t>
            </w:r>
          </w:p>
        </w:tc>
      </w:tr>
      <w:tr w:rsidR="00A649DD" w14:paraId="6C75A42C" w14:textId="77777777" w:rsidTr="00A649DD">
        <w:tc>
          <w:tcPr>
            <w:tcW w:w="43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2A012C" w14:textId="7444ED4B" w:rsidR="00A649DD" w:rsidRPr="00A100DC" w:rsidRDefault="00CD4862" w:rsidP="008D0CCC">
            <w:pPr>
              <w:pStyle w:val="TableParagraph"/>
              <w:ind w:left="0" w:right="50"/>
              <w:rPr>
                <w:rFonts w:asciiTheme="minorHAnsi" w:hAnsiTheme="minorHAnsi" w:cstheme="minorHAnsi"/>
                <w:sz w:val="20"/>
              </w:rPr>
            </w:pPr>
            <w:r w:rsidRPr="00CD4862">
              <w:rPr>
                <w:rFonts w:asciiTheme="minorHAnsi" w:hAnsiTheme="minorHAnsi" w:cstheme="minorHAnsi"/>
                <w:sz w:val="20"/>
                <w:lang w:val="en-NZ"/>
              </w:rPr>
              <w:t>Conditions may be imposed on disclosure, publication, or use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F5E84A" w14:textId="77777777" w:rsidR="00CD4862" w:rsidRPr="00A100DC" w:rsidRDefault="002A1EAF" w:rsidP="00CD4862">
            <w:pPr>
              <w:pStyle w:val="TableBullet1"/>
              <w:numPr>
                <w:ilvl w:val="0"/>
                <w:numId w:val="0"/>
              </w:numPr>
              <w:ind w:left="284" w:hanging="284"/>
              <w:rPr>
                <w:rFonts w:cstheme="minorHAnsi"/>
                <w:color w:val="0000FF"/>
                <w:spacing w:val="-2"/>
                <w:u w:val="single" w:color="0000FF"/>
              </w:rPr>
            </w:pPr>
            <w:hyperlink r:id="rId13">
              <w:r w:rsidR="00A649DD" w:rsidRPr="00A100DC">
                <w:rPr>
                  <w:rFonts w:cstheme="minorHAnsi"/>
                  <w:color w:val="0000FF"/>
                  <w:spacing w:val="-2"/>
                  <w:u w:val="single" w:color="0000FF"/>
                </w:rPr>
                <w:t>98(1)</w:t>
              </w:r>
            </w:hyperlink>
          </w:p>
          <w:p w14:paraId="295B7B0B" w14:textId="1D93ECF3" w:rsidR="00A649DD" w:rsidRPr="00A100DC" w:rsidRDefault="002A1EAF" w:rsidP="00CD4862">
            <w:pPr>
              <w:pStyle w:val="TableBullet1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hyperlink r:id="rId14" w:history="1">
              <w:r w:rsidR="00A649DD" w:rsidRPr="00A100DC">
                <w:rPr>
                  <w:rStyle w:val="Hyperlink"/>
                  <w:rFonts w:cstheme="minorHAnsi"/>
                  <w:spacing w:val="-2"/>
                </w:rPr>
                <w:t>98(3)</w:t>
              </w:r>
            </w:hyperlink>
            <w:r w:rsidR="00CD4862" w:rsidRPr="00A100DC">
              <w:rPr>
                <w:rFonts w:cstheme="minorHAnsi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FCA5E8" w14:textId="264379D7" w:rsidR="00A649DD" w:rsidRPr="00A100DC" w:rsidRDefault="00CD4862" w:rsidP="00CD4862">
            <w:pPr>
              <w:pStyle w:val="TableText"/>
              <w:rPr>
                <w:rFonts w:cstheme="minorHAnsi"/>
              </w:rPr>
            </w:pPr>
            <w:r w:rsidRPr="00CD4862">
              <w:rPr>
                <w:rFonts w:cstheme="minorHAnsi"/>
              </w:rPr>
              <w:t>Confidentiality requirements, restrictions on further disclosure</w:t>
            </w:r>
            <w:r w:rsidR="00A0485B">
              <w:rPr>
                <w:rFonts w:cstheme="minorHAnsi"/>
              </w:rPr>
              <w:t>,</w:t>
            </w:r>
            <w:r w:rsidRPr="00CD4862">
              <w:rPr>
                <w:rFonts w:cstheme="minorHAnsi"/>
              </w:rPr>
              <w:t xml:space="preserve"> limits on use</w:t>
            </w:r>
            <w:r w:rsidR="00A0485B">
              <w:rPr>
                <w:rFonts w:cstheme="minorHAnsi"/>
              </w:rPr>
              <w:t xml:space="preserve">, and restrictions on storage and access </w:t>
            </w:r>
          </w:p>
        </w:tc>
      </w:tr>
      <w:tr w:rsidR="00A649DD" w14:paraId="09195076" w14:textId="77777777" w:rsidTr="00A649DD">
        <w:tc>
          <w:tcPr>
            <w:tcW w:w="43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282597" w14:textId="05A5EB00" w:rsidR="00A649DD" w:rsidRPr="00A100DC" w:rsidRDefault="00CD4862" w:rsidP="00CD4862">
            <w:pPr>
              <w:pStyle w:val="TableText"/>
              <w:rPr>
                <w:rFonts w:cstheme="minorHAnsi"/>
              </w:rPr>
            </w:pPr>
            <w:r w:rsidRPr="00CD4862">
              <w:rPr>
                <w:rFonts w:cstheme="minorHAnsi"/>
              </w:rPr>
              <w:t>Privacy considerations must be addressed</w:t>
            </w:r>
            <w:r w:rsidR="00AB7BC5">
              <w:rPr>
                <w:rFonts w:cstheme="minorHAnsi"/>
                <w:spacing w:val="-2"/>
              </w:rPr>
              <w:t xml:space="preserve"> in considering what conditions to impose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370A91" w14:textId="77777777" w:rsidR="00A649DD" w:rsidRPr="00A100DC" w:rsidRDefault="002A1EAF" w:rsidP="00A100D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hyperlink r:id="rId15">
              <w:r w:rsidR="00A649DD" w:rsidRPr="00A100DC">
                <w:rPr>
                  <w:rFonts w:asciiTheme="minorHAnsi" w:hAnsiTheme="minorHAnsi" w:cstheme="minorHAnsi"/>
                  <w:color w:val="0000FF"/>
                  <w:spacing w:val="-2"/>
                  <w:sz w:val="20"/>
                  <w:u w:val="single" w:color="0000FF"/>
                </w:rPr>
                <w:t>98(2)</w:t>
              </w:r>
            </w:hyperlink>
          </w:p>
        </w:tc>
        <w:tc>
          <w:tcPr>
            <w:tcW w:w="3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9D2821" w14:textId="5DB0754C" w:rsidR="00A649DD" w:rsidRPr="00A100DC" w:rsidRDefault="00CD4862" w:rsidP="00CD4862">
            <w:pPr>
              <w:pStyle w:val="TableText"/>
              <w:rPr>
                <w:rFonts w:cstheme="minorHAnsi"/>
              </w:rPr>
            </w:pPr>
            <w:r w:rsidRPr="00CD4862">
              <w:rPr>
                <w:rFonts w:cstheme="minorHAnsi"/>
              </w:rPr>
              <w:t>Redaction of personal information</w:t>
            </w:r>
          </w:p>
        </w:tc>
      </w:tr>
    </w:tbl>
    <w:p w14:paraId="30C62CF5" w14:textId="07415B13" w:rsidR="00A649DD" w:rsidRDefault="00A649DD" w:rsidP="00A649DD">
      <w:pPr>
        <w:pStyle w:val="SmallText"/>
      </w:pPr>
    </w:p>
    <w:p w14:paraId="4D3D52DC" w14:textId="77777777" w:rsidR="00CD4862" w:rsidRPr="00CD4862" w:rsidRDefault="00CD4862" w:rsidP="00CD4862">
      <w:pPr>
        <w:pStyle w:val="SmallText"/>
        <w:rPr>
          <w:sz w:val="22"/>
        </w:rPr>
      </w:pPr>
      <w:r w:rsidRPr="00CD4862">
        <w:rPr>
          <w:sz w:val="22"/>
        </w:rPr>
        <w:lastRenderedPageBreak/>
        <w:t>Conditions may include, but are not limited to:</w:t>
      </w:r>
    </w:p>
    <w:p w14:paraId="44A09B29" w14:textId="77777777" w:rsidR="00CD4862" w:rsidRPr="00CD4862" w:rsidRDefault="00CD4862" w:rsidP="00CD4862">
      <w:pPr>
        <w:pStyle w:val="SmallText"/>
        <w:numPr>
          <w:ilvl w:val="0"/>
          <w:numId w:val="32"/>
        </w:numPr>
        <w:rPr>
          <w:sz w:val="22"/>
        </w:rPr>
      </w:pPr>
      <w:r w:rsidRPr="00CD4862">
        <w:rPr>
          <w:sz w:val="22"/>
        </w:rPr>
        <w:t>Requirements to maintain confidentiality of information provided</w:t>
      </w:r>
    </w:p>
    <w:p w14:paraId="606D5A8B" w14:textId="77777777" w:rsidR="00CD4862" w:rsidRPr="00CD4862" w:rsidRDefault="00CD4862" w:rsidP="00CD4862">
      <w:pPr>
        <w:pStyle w:val="SmallText"/>
        <w:numPr>
          <w:ilvl w:val="0"/>
          <w:numId w:val="32"/>
        </w:numPr>
        <w:rPr>
          <w:sz w:val="22"/>
        </w:rPr>
      </w:pPr>
      <w:r w:rsidRPr="00CD4862">
        <w:rPr>
          <w:sz w:val="22"/>
        </w:rPr>
        <w:t>Restrictions on storage, handling, or accessibility</w:t>
      </w:r>
    </w:p>
    <w:p w14:paraId="5E3780DA" w14:textId="77777777" w:rsidR="00CD4862" w:rsidRPr="00CD4862" w:rsidRDefault="00CD4862" w:rsidP="00CD4862">
      <w:pPr>
        <w:pStyle w:val="SmallText"/>
        <w:numPr>
          <w:ilvl w:val="0"/>
          <w:numId w:val="32"/>
        </w:numPr>
        <w:rPr>
          <w:sz w:val="22"/>
        </w:rPr>
      </w:pPr>
      <w:r w:rsidRPr="00CD4862">
        <w:rPr>
          <w:sz w:val="22"/>
        </w:rPr>
        <w:t>Requirements for secure transmission or storage</w:t>
      </w:r>
    </w:p>
    <w:p w14:paraId="12571CCA" w14:textId="77777777" w:rsidR="00CD4862" w:rsidRPr="00CD4862" w:rsidRDefault="00CD4862" w:rsidP="00CD4862">
      <w:pPr>
        <w:pStyle w:val="SmallText"/>
        <w:numPr>
          <w:ilvl w:val="0"/>
          <w:numId w:val="32"/>
        </w:numPr>
        <w:rPr>
          <w:sz w:val="22"/>
        </w:rPr>
      </w:pPr>
      <w:r w:rsidRPr="00CD4862">
        <w:rPr>
          <w:sz w:val="22"/>
        </w:rPr>
        <w:t>Requirements for return, destruction, or non-copying of information</w:t>
      </w:r>
    </w:p>
    <w:p w14:paraId="58C8D139" w14:textId="77777777" w:rsidR="00AB7BC5" w:rsidRDefault="00AB7BC5" w:rsidP="00CD4862">
      <w:pPr>
        <w:pStyle w:val="SmallText"/>
        <w:rPr>
          <w:sz w:val="22"/>
        </w:rPr>
      </w:pPr>
    </w:p>
    <w:p w14:paraId="32F832F2" w14:textId="5BD5FB2D" w:rsidR="00CD4862" w:rsidRDefault="00CD4862" w:rsidP="00CD4862">
      <w:pPr>
        <w:pStyle w:val="SmallText"/>
        <w:rPr>
          <w:sz w:val="22"/>
        </w:rPr>
      </w:pPr>
      <w:r w:rsidRPr="00CD4862">
        <w:rPr>
          <w:sz w:val="22"/>
        </w:rPr>
        <w:t>Fire and Emergency must consider whether conditions are necessary to protect the privacy of any individual before releasing information</w:t>
      </w:r>
      <w:r w:rsidR="00826887">
        <w:rPr>
          <w:sz w:val="22"/>
        </w:rPr>
        <w:t>.</w:t>
      </w:r>
    </w:p>
    <w:p w14:paraId="72746AED" w14:textId="77777777" w:rsidR="00FE154D" w:rsidRDefault="00FE154D" w:rsidP="00CD4862">
      <w:pPr>
        <w:pStyle w:val="SmallText"/>
        <w:rPr>
          <w:sz w:val="22"/>
        </w:rPr>
      </w:pPr>
    </w:p>
    <w:p w14:paraId="5ABB3F99" w14:textId="7F8E5B6D" w:rsidR="00FE154D" w:rsidRPr="00CD4862" w:rsidRDefault="00FE154D" w:rsidP="00CD4862">
      <w:pPr>
        <w:pStyle w:val="SmallText"/>
        <w:rPr>
          <w:sz w:val="22"/>
        </w:rPr>
      </w:pPr>
      <w:r>
        <w:rPr>
          <w:sz w:val="22"/>
        </w:rPr>
        <w:t>Section 98</w:t>
      </w:r>
      <w:r w:rsidR="005F58C8">
        <w:rPr>
          <w:sz w:val="22"/>
        </w:rPr>
        <w:t>(4)</w:t>
      </w:r>
      <w:r>
        <w:rPr>
          <w:sz w:val="22"/>
        </w:rPr>
        <w:t xml:space="preserve"> provides that it is an offence to refuse or fail without reasonable excuse to comply with any conditions. </w:t>
      </w:r>
    </w:p>
    <w:p w14:paraId="23FB4133" w14:textId="77777777" w:rsidR="00CD4862" w:rsidRDefault="00CD4862" w:rsidP="00A649DD">
      <w:pPr>
        <w:pStyle w:val="SmallText"/>
      </w:pPr>
    </w:p>
    <w:p w14:paraId="52FBEEB9" w14:textId="0633CE09" w:rsidR="00731DDF" w:rsidRPr="00731DDF" w:rsidRDefault="00731DDF" w:rsidP="00017EB5">
      <w:pPr>
        <w:pStyle w:val="Heading1"/>
      </w:pPr>
      <w:bookmarkStart w:id="6" w:name="_Definitions"/>
      <w:bookmarkEnd w:id="6"/>
      <w:r>
        <w:t>Definitions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7669"/>
      </w:tblGrid>
      <w:tr w:rsidR="00731DDF" w14:paraId="13CD766C" w14:textId="77777777" w:rsidTr="004C0015">
        <w:trPr>
          <w:cantSplit/>
        </w:trPr>
        <w:tc>
          <w:tcPr>
            <w:tcW w:w="1985" w:type="dxa"/>
          </w:tcPr>
          <w:p w14:paraId="260220F3" w14:textId="32CC7931" w:rsidR="00731DDF" w:rsidRDefault="00017EB5" w:rsidP="00440913">
            <w:pPr>
              <w:pStyle w:val="BlockLabel"/>
            </w:pPr>
            <w:bookmarkStart w:id="7" w:name="Agent"/>
            <w:bookmarkEnd w:id="7"/>
            <w:r w:rsidRPr="00017EB5">
              <w:t>Authorised agent</w:t>
            </w:r>
          </w:p>
        </w:tc>
        <w:tc>
          <w:tcPr>
            <w:tcW w:w="78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AB6D9C7" w14:textId="300396AF" w:rsidR="00731DDF" w:rsidRDefault="00CD4862" w:rsidP="000D453A">
            <w:r w:rsidRPr="00CD4862">
              <w:t xml:space="preserve">An authorised agent is a person who has authority to request levy information or documents on behalf of another person or organisation (for example, an insurance broker </w:t>
            </w:r>
            <w:r w:rsidR="005F58C8">
              <w:t xml:space="preserve">or lawyer </w:t>
            </w:r>
            <w:r w:rsidRPr="00CD4862">
              <w:t>acting for a policyholder).</w:t>
            </w:r>
          </w:p>
        </w:tc>
      </w:tr>
      <w:tr w:rsidR="00731DDF" w14:paraId="75788444" w14:textId="77777777" w:rsidTr="00D32048">
        <w:trPr>
          <w:cantSplit/>
        </w:trPr>
        <w:tc>
          <w:tcPr>
            <w:tcW w:w="1985" w:type="dxa"/>
          </w:tcPr>
          <w:p w14:paraId="4C44B984" w14:textId="451E8876" w:rsidR="00731DDF" w:rsidRDefault="00017EB5" w:rsidP="00440913">
            <w:pPr>
              <w:pStyle w:val="BlockLabel"/>
            </w:pPr>
            <w:bookmarkStart w:id="8" w:name="Confirmation"/>
            <w:bookmarkEnd w:id="8"/>
            <w:r>
              <w:t>Confirmation of authorised agent status</w:t>
            </w:r>
          </w:p>
        </w:tc>
        <w:tc>
          <w:tcPr>
            <w:tcW w:w="7830" w:type="dxa"/>
            <w:tcBorders>
              <w:top w:val="single" w:sz="6" w:space="0" w:color="A6A6A6" w:themeColor="background1" w:themeShade="A6"/>
              <w:bottom w:val="single" w:sz="6" w:space="0" w:color="auto"/>
            </w:tcBorders>
          </w:tcPr>
          <w:p w14:paraId="507A2C1A" w14:textId="77777777" w:rsidR="00A100DC" w:rsidRPr="00A100DC" w:rsidRDefault="00A100DC" w:rsidP="00A100DC">
            <w:r w:rsidRPr="00A100DC">
              <w:t>Where there is uncertainty about whether a person is an authorised agent:</w:t>
            </w:r>
          </w:p>
          <w:p w14:paraId="79FAD3EF" w14:textId="77777777" w:rsidR="00A100DC" w:rsidRPr="00A100DC" w:rsidRDefault="00A100DC" w:rsidP="00A100DC">
            <w:pPr>
              <w:numPr>
                <w:ilvl w:val="0"/>
                <w:numId w:val="33"/>
              </w:numPr>
            </w:pPr>
            <w:r w:rsidRPr="00A100DC">
              <w:t>Evidence of authority must be requested; and</w:t>
            </w:r>
          </w:p>
          <w:p w14:paraId="26A166A5" w14:textId="77777777" w:rsidR="00A100DC" w:rsidRPr="00A100DC" w:rsidRDefault="00A100DC" w:rsidP="00A100DC">
            <w:pPr>
              <w:numPr>
                <w:ilvl w:val="0"/>
                <w:numId w:val="33"/>
              </w:numPr>
            </w:pPr>
            <w:r w:rsidRPr="00A100DC">
              <w:t>Fire and Emergency must be satisfied that valid consent has been provided by the person or organisation to whom the information relates</w:t>
            </w:r>
          </w:p>
          <w:p w14:paraId="038DE435" w14:textId="35492FA9" w:rsidR="00731DDF" w:rsidRDefault="00A100DC" w:rsidP="00017EB5">
            <w:r w:rsidRPr="00A100DC">
              <w:t>Statements alone are not sufficient evidence of authorit</w:t>
            </w:r>
            <w:r>
              <w:t>y.</w:t>
            </w:r>
          </w:p>
        </w:tc>
      </w:tr>
    </w:tbl>
    <w:p w14:paraId="2B771BB1" w14:textId="77777777" w:rsidR="00731DDF" w:rsidRDefault="00731DDF" w:rsidP="000D453A">
      <w:pPr>
        <w:pStyle w:val="Heading1"/>
      </w:pPr>
      <w:bookmarkStart w:id="9" w:name="_Related_information"/>
      <w:bookmarkEnd w:id="9"/>
      <w:r>
        <w:t>Related information</w:t>
      </w:r>
    </w:p>
    <w:p w14:paraId="5014F922" w14:textId="77777777" w:rsidR="00731DDF" w:rsidRDefault="00731DDF" w:rsidP="00731DDF">
      <w:pPr>
        <w:pStyle w:val="Heading3"/>
      </w:pPr>
      <w:r>
        <w:t>Legislation</w:t>
      </w:r>
    </w:p>
    <w:p w14:paraId="4A1FB6FD" w14:textId="77777777" w:rsidR="00017EB5" w:rsidRDefault="00017EB5" w:rsidP="00017EB5">
      <w:r>
        <w:t>We must comply with legislation, including the following:</w:t>
      </w:r>
    </w:p>
    <w:p w14:paraId="56821523" w14:textId="169709DF" w:rsidR="00017EB5" w:rsidRDefault="00017EB5" w:rsidP="00A100DC">
      <w:pPr>
        <w:pStyle w:val="Bullet1"/>
      </w:pPr>
      <w:r>
        <w:t>Fire and Emergency New Zealand Act 2017</w:t>
      </w:r>
      <w:r w:rsidR="00A100DC">
        <w:t xml:space="preserve"> (particularly </w:t>
      </w:r>
      <w:hyperlink r:id="rId16" w:history="1">
        <w:r w:rsidR="00A100DC">
          <w:rPr>
            <w:rStyle w:val="Hyperlink"/>
          </w:rPr>
          <w:t>s</w:t>
        </w:r>
        <w:r w:rsidRPr="00017EB5">
          <w:rPr>
            <w:rStyle w:val="Hyperlink"/>
          </w:rPr>
          <w:t>ection 97</w:t>
        </w:r>
      </w:hyperlink>
      <w:r>
        <w:t xml:space="preserve"> </w:t>
      </w:r>
      <w:r w:rsidR="00A100DC">
        <w:t xml:space="preserve">and </w:t>
      </w:r>
      <w:hyperlink r:id="rId17" w:history="1">
        <w:r w:rsidR="00A100DC">
          <w:rPr>
            <w:rStyle w:val="Hyperlink"/>
          </w:rPr>
          <w:t>s</w:t>
        </w:r>
        <w:r w:rsidRPr="00017EB5">
          <w:rPr>
            <w:rStyle w:val="Hyperlink"/>
          </w:rPr>
          <w:t>ection 98</w:t>
        </w:r>
      </w:hyperlink>
      <w:r w:rsidR="005F58C8">
        <w:t>)</w:t>
      </w:r>
    </w:p>
    <w:p w14:paraId="5BA99F3F" w14:textId="71B41ADF" w:rsidR="00017EB5" w:rsidRDefault="002A1EAF" w:rsidP="00A100DC">
      <w:pPr>
        <w:pStyle w:val="Bullet1"/>
      </w:pPr>
      <w:hyperlink r:id="rId18" w:history="1">
        <w:r w:rsidR="00017EB5" w:rsidRPr="00FA0820">
          <w:rPr>
            <w:rStyle w:val="Hyperlink"/>
          </w:rPr>
          <w:t>Privacy Act 2020</w:t>
        </w:r>
      </w:hyperlink>
    </w:p>
    <w:p w14:paraId="7A672A94" w14:textId="21C8BA7E" w:rsidR="00FA0820" w:rsidRDefault="002A1EAF" w:rsidP="00A100DC">
      <w:pPr>
        <w:pStyle w:val="Bullet1"/>
      </w:pPr>
      <w:hyperlink r:id="rId19" w:history="1">
        <w:r w:rsidR="00017EB5" w:rsidRPr="00FA0820">
          <w:rPr>
            <w:rStyle w:val="Hyperlink"/>
          </w:rPr>
          <w:t>Official Information Act 1982</w:t>
        </w:r>
      </w:hyperlink>
    </w:p>
    <w:p w14:paraId="4B80E537" w14:textId="77777777" w:rsidR="00FA0820" w:rsidRDefault="00FA0820" w:rsidP="00FA0820"/>
    <w:p w14:paraId="43C6B826" w14:textId="2CA72C0C" w:rsidR="00731DDF" w:rsidRPr="00731DDF" w:rsidRDefault="004C5926" w:rsidP="00FA0820">
      <w:pPr>
        <w:pStyle w:val="Heading3Supplemental"/>
      </w:pPr>
      <w:r w:rsidRPr="004C5926">
        <w:t>Document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2"/>
      </w:tblGrid>
      <w:tr w:rsidR="004C5926" w14:paraId="4536E04B" w14:textId="77777777" w:rsidTr="00D32048"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399354A9" w14:textId="77777777" w:rsidR="004C5926" w:rsidRPr="004A4093" w:rsidRDefault="004C5926" w:rsidP="00A36CC0">
            <w:pPr>
              <w:pStyle w:val="TableHeading"/>
              <w:keepNext/>
              <w:keepLines/>
            </w:pPr>
            <w:r>
              <w:t>Owner</w:t>
            </w:r>
          </w:p>
        </w:tc>
        <w:tc>
          <w:tcPr>
            <w:tcW w:w="767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4239C7A" w14:textId="65E487B3" w:rsidR="004C5926" w:rsidRDefault="00FA0820" w:rsidP="00A36CC0">
            <w:pPr>
              <w:pStyle w:val="TableText"/>
              <w:keepNext/>
              <w:keepLines/>
            </w:pPr>
            <w:r w:rsidRPr="00FA0820">
              <w:t xml:space="preserve">Deputy Chief Executive </w:t>
            </w:r>
            <w:r w:rsidR="00A100DC">
              <w:t>Corporate Services</w:t>
            </w:r>
          </w:p>
        </w:tc>
      </w:tr>
      <w:tr w:rsidR="00FA0820" w14:paraId="5DBA7E26" w14:textId="77777777" w:rsidTr="00D32048"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2B9984F4" w14:textId="409BDCEC" w:rsidR="00FA0820" w:rsidRDefault="00FA0820" w:rsidP="00A36CC0">
            <w:pPr>
              <w:pStyle w:val="TableHeading"/>
              <w:keepNext/>
              <w:keepLines/>
            </w:pPr>
            <w:r>
              <w:t>Steward</w:t>
            </w:r>
          </w:p>
        </w:tc>
        <w:tc>
          <w:tcPr>
            <w:tcW w:w="767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B8E50B2" w14:textId="04EB94CB" w:rsidR="00FA0820" w:rsidRPr="00FA0820" w:rsidRDefault="00A100DC" w:rsidP="00A36CC0">
            <w:pPr>
              <w:pStyle w:val="TableText"/>
              <w:keepNext/>
              <w:keepLines/>
            </w:pPr>
            <w:r>
              <w:t>Manager Levy</w:t>
            </w:r>
          </w:p>
        </w:tc>
      </w:tr>
      <w:tr w:rsidR="004C5926" w14:paraId="773E1B78" w14:textId="77777777" w:rsidTr="00D32048"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65476D44" w14:textId="77777777" w:rsidR="004C5926" w:rsidRPr="004A4093" w:rsidRDefault="004C5926" w:rsidP="00A36CC0">
            <w:pPr>
              <w:pStyle w:val="TableHeading"/>
              <w:keepNext/>
              <w:keepLines/>
            </w:pPr>
            <w:r>
              <w:t>Last reviewed</w:t>
            </w:r>
          </w:p>
        </w:tc>
        <w:tc>
          <w:tcPr>
            <w:tcW w:w="767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037C99C" w14:textId="493513D3" w:rsidR="004C5926" w:rsidRDefault="002A1EAF" w:rsidP="00A36CC0">
            <w:pPr>
              <w:pStyle w:val="TableText"/>
              <w:keepNext/>
              <w:keepLines/>
            </w:pPr>
            <w:sdt>
              <w:sdtPr>
                <w:rPr>
                  <w:highlight w:val="yellow"/>
                </w:rPr>
                <w:id w:val="489298347"/>
                <w:placeholder>
                  <w:docPart w:val="B06F06E46FEA454CB3856D9C1294B839"/>
                </w:placeholder>
                <w:date w:fullDate="2026-05-08T00:00:00Z"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E154D">
                  <w:rPr>
                    <w:highlight w:val="yellow"/>
                  </w:rPr>
                  <w:t xml:space="preserve">8 </w:t>
                </w:r>
                <w:r w:rsidR="005F58C8">
                  <w:rPr>
                    <w:highlight w:val="yellow"/>
                  </w:rPr>
                  <w:t>May</w:t>
                </w:r>
                <w:r w:rsidR="00FE154D">
                  <w:rPr>
                    <w:highlight w:val="yellow"/>
                  </w:rPr>
                  <w:t xml:space="preserve"> 2026</w:t>
                </w:r>
              </w:sdtContent>
            </w:sdt>
          </w:p>
        </w:tc>
      </w:tr>
      <w:tr w:rsidR="004C5926" w14:paraId="18C3E6AC" w14:textId="77777777" w:rsidTr="00D32048"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24B0B479" w14:textId="77777777" w:rsidR="004C5926" w:rsidRDefault="004C5926" w:rsidP="004C5926">
            <w:pPr>
              <w:pStyle w:val="TableHeading"/>
            </w:pPr>
            <w:r>
              <w:t>Review period</w:t>
            </w:r>
          </w:p>
        </w:tc>
        <w:tc>
          <w:tcPr>
            <w:tcW w:w="767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sdt>
            <w:sdtPr>
              <w:id w:val="562692797"/>
              <w:placeholder>
                <w:docPart w:val="2C7C7C3FFFC544B4A994084AB1CC75BE"/>
              </w:placeholder>
              <w:comboBox>
                <w:listItem w:value="Choose an item."/>
                <w:listItem w:displayText="Six-monthly" w:value="Six-monthly"/>
                <w:listItem w:displayText="Yearly" w:value="Yearly"/>
                <w:listItem w:displayText="Every second year" w:value="Every second year"/>
              </w:comboBox>
            </w:sdtPr>
            <w:sdtEndPr/>
            <w:sdtContent>
              <w:p w14:paraId="2A083AC8" w14:textId="3D7ACD9F" w:rsidR="004C5926" w:rsidRDefault="00FA0820" w:rsidP="00464B9E">
                <w:pPr>
                  <w:pStyle w:val="TableText"/>
                </w:pPr>
                <w:r>
                  <w:t>Every second year</w:t>
                </w:r>
              </w:p>
            </w:sdtContent>
          </w:sdt>
        </w:tc>
      </w:tr>
    </w:tbl>
    <w:p w14:paraId="2E750A0F" w14:textId="21A063B3" w:rsidR="00A60CBA" w:rsidRDefault="004C5926" w:rsidP="004C5926">
      <w:pPr>
        <w:pStyle w:val="Heading3Supplemental"/>
      </w:pPr>
      <w:r>
        <w:t>Record of amendment</w:t>
      </w:r>
      <w:r w:rsidR="00181C0C">
        <w:t>s</w:t>
      </w:r>
    </w:p>
    <w:tbl>
      <w:tblPr>
        <w:tblW w:w="0" w:type="auto"/>
        <w:tblInd w:w="117" w:type="dxa"/>
        <w:tblBorders>
          <w:top w:val="single" w:sz="2" w:space="0" w:color="F6F6F6"/>
          <w:left w:val="single" w:sz="2" w:space="0" w:color="F6F6F6"/>
          <w:bottom w:val="single" w:sz="2" w:space="0" w:color="F6F6F6"/>
          <w:right w:val="single" w:sz="2" w:space="0" w:color="F6F6F6"/>
          <w:insideH w:val="single" w:sz="2" w:space="0" w:color="F6F6F6"/>
          <w:insideV w:val="single" w:sz="2" w:space="0" w:color="F6F6F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7782"/>
      </w:tblGrid>
      <w:tr w:rsidR="00FA0820" w14:paraId="56F2D7D7" w14:textId="77777777" w:rsidTr="00FA0820">
        <w:trPr>
          <w:trHeight w:val="479"/>
        </w:trPr>
        <w:tc>
          <w:tcPr>
            <w:tcW w:w="1846" w:type="dxa"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74668DFD" w14:textId="77777777" w:rsidR="00FA0820" w:rsidRDefault="00FA0820" w:rsidP="00FA0820">
            <w:pPr>
              <w:pStyle w:val="TableHeading"/>
            </w:pPr>
            <w:r>
              <w:t>Date</w:t>
            </w:r>
          </w:p>
        </w:tc>
        <w:tc>
          <w:tcPr>
            <w:tcW w:w="7782" w:type="dxa"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1D621601" w14:textId="77777777" w:rsidR="00FA0820" w:rsidRDefault="00FA0820" w:rsidP="00FA0820">
            <w:pPr>
              <w:pStyle w:val="TableHeading"/>
            </w:pPr>
            <w:r>
              <w:t>Brief</w:t>
            </w:r>
            <w:r>
              <w:rPr>
                <w:spacing w:val="-7"/>
              </w:rPr>
              <w:t xml:space="preserve"> </w:t>
            </w:r>
            <w:r>
              <w:t>description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amendment</w:t>
            </w:r>
          </w:p>
        </w:tc>
      </w:tr>
      <w:tr w:rsidR="00FA0820" w14:paraId="3BC06ACD" w14:textId="77777777" w:rsidTr="005C2D95">
        <w:trPr>
          <w:trHeight w:val="722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3D4F24C7" w14:textId="77777777" w:rsidR="00FA0820" w:rsidRDefault="00FA0820" w:rsidP="00FA0820">
            <w:pPr>
              <w:pStyle w:val="TableTex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2042BFAF" w14:textId="77777777" w:rsidR="00FA0820" w:rsidRDefault="00FA0820" w:rsidP="00FA0820">
            <w:pPr>
              <w:pStyle w:val="TableText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New Zealand Act 2017.</w:t>
            </w:r>
          </w:p>
        </w:tc>
      </w:tr>
      <w:tr w:rsidR="00FA0820" w14:paraId="6F9BCC3D" w14:textId="77777777" w:rsidTr="005C2D95">
        <w:trPr>
          <w:trHeight w:val="477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5FCE0639" w14:textId="77777777" w:rsidR="00FA0820" w:rsidRDefault="00FA0820" w:rsidP="00FA0820">
            <w:pPr>
              <w:pStyle w:val="TableText"/>
            </w:pPr>
            <w:r>
              <w:t>10</w:t>
            </w:r>
            <w:r>
              <w:rPr>
                <w:spacing w:val="-6"/>
              </w:rPr>
              <w:t xml:space="preserve"> </w:t>
            </w:r>
            <w:r>
              <w:t>August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2018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7DD1AB0B" w14:textId="77777777" w:rsidR="00FA0820" w:rsidRDefault="00FA0820" w:rsidP="00FA0820">
            <w:pPr>
              <w:pStyle w:val="TableText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7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confirmed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correct with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changes.</w:t>
            </w:r>
          </w:p>
        </w:tc>
      </w:tr>
      <w:tr w:rsidR="00FA0820" w14:paraId="479FAA6B" w14:textId="77777777" w:rsidTr="005C2D95">
        <w:trPr>
          <w:trHeight w:val="724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46F73B1E" w14:textId="77777777" w:rsidR="00FA0820" w:rsidRDefault="00FA0820" w:rsidP="00FA0820">
            <w:pPr>
              <w:pStyle w:val="TableText"/>
            </w:pPr>
            <w:r>
              <w:lastRenderedPageBreak/>
              <w:t>1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15A3CA96" w14:textId="77777777" w:rsidR="00FA0820" w:rsidRDefault="00FA0820" w:rsidP="00FA0820">
            <w:pPr>
              <w:pStyle w:val="TableText"/>
            </w:pPr>
            <w:r>
              <w:t>Content</w:t>
            </w:r>
            <w:r>
              <w:rPr>
                <w:spacing w:val="-4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updated.</w:t>
            </w:r>
            <w:r>
              <w:rPr>
                <w:spacing w:val="-4"/>
              </w:rPr>
              <w:t xml:space="preserve"> </w:t>
            </w:r>
            <w:r>
              <w:t>Chief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Officer</w:t>
            </w:r>
            <w:r>
              <w:rPr>
                <w:spacing w:val="-4"/>
              </w:rPr>
              <w:t xml:space="preserve"> </w:t>
            </w:r>
            <w:r>
              <w:t>replaced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DCE</w:t>
            </w:r>
            <w:r>
              <w:rPr>
                <w:spacing w:val="-4"/>
              </w:rPr>
              <w:t xml:space="preserve"> </w:t>
            </w:r>
            <w:r>
              <w:t>Finance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Business </w:t>
            </w:r>
            <w:r>
              <w:rPr>
                <w:spacing w:val="-2"/>
              </w:rPr>
              <w:t>Operations.</w:t>
            </w:r>
          </w:p>
        </w:tc>
      </w:tr>
      <w:tr w:rsidR="00FA0820" w14:paraId="3A676305" w14:textId="77777777" w:rsidTr="005C2D95">
        <w:trPr>
          <w:trHeight w:val="477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5359A11D" w14:textId="77777777" w:rsidR="00FA0820" w:rsidRDefault="00FA0820" w:rsidP="00FA0820">
            <w:pPr>
              <w:pStyle w:val="TableTex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4"/>
              </w:rPr>
              <w:t xml:space="preserve"> 2020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3086B1FF" w14:textId="77777777" w:rsidR="00FA0820" w:rsidRDefault="00FA0820" w:rsidP="00FA0820">
            <w:pPr>
              <w:pStyle w:val="TableText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reflect</w:t>
            </w:r>
            <w:r>
              <w:rPr>
                <w:spacing w:val="-6"/>
              </w:rPr>
              <w:t xml:space="preserve"> </w:t>
            </w: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changes.</w:t>
            </w:r>
          </w:p>
        </w:tc>
      </w:tr>
      <w:tr w:rsidR="00FA0820" w14:paraId="72D68DFC" w14:textId="77777777" w:rsidTr="005C2D95">
        <w:trPr>
          <w:trHeight w:val="477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2B4E996C" w14:textId="77777777" w:rsidR="00FA0820" w:rsidRDefault="00FA0820" w:rsidP="00FA0820">
            <w:pPr>
              <w:pStyle w:val="TableText"/>
            </w:pPr>
            <w:r>
              <w:t>28 February 2023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01609F93" w14:textId="77777777" w:rsidR="00FA0820" w:rsidRDefault="00FA0820" w:rsidP="00FA0820">
            <w:pPr>
              <w:pStyle w:val="TableText"/>
            </w:pPr>
            <w:r>
              <w:t>Updated wording to provide clarity</w:t>
            </w:r>
          </w:p>
        </w:tc>
      </w:tr>
      <w:tr w:rsidR="00A100DC" w14:paraId="7B37A90B" w14:textId="77777777" w:rsidTr="005C2D95">
        <w:trPr>
          <w:trHeight w:val="477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3182335E" w14:textId="118A7117" w:rsidR="00A100DC" w:rsidRDefault="00A100DC" w:rsidP="00FA0820">
            <w:pPr>
              <w:pStyle w:val="TableText"/>
            </w:pPr>
            <w:r>
              <w:t>1 July 2026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</w:tcPr>
          <w:p w14:paraId="6AF95B7D" w14:textId="7A07C0A0" w:rsidR="00A100DC" w:rsidRDefault="00A100DC" w:rsidP="00FA0820">
            <w:pPr>
              <w:pStyle w:val="TableText"/>
            </w:pPr>
            <w:r w:rsidRPr="00A100DC">
              <w:t>Policy updated to reflect full application of Part 3 of the Fire and Emergency New Zealand Act 2017 and removal of legacy references to the Fire Service Act 1975</w:t>
            </w:r>
          </w:p>
        </w:tc>
      </w:tr>
    </w:tbl>
    <w:p w14:paraId="211D7D35" w14:textId="0359100E" w:rsidR="00FA0820" w:rsidRDefault="00FA0820" w:rsidP="00FA0820"/>
    <w:sectPr w:rsidR="00FA0820" w:rsidSect="00A36CC0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36BA" w14:textId="77777777" w:rsidR="001A7936" w:rsidRDefault="001A7936" w:rsidP="001F321A">
      <w:pPr>
        <w:spacing w:before="0" w:after="0"/>
      </w:pPr>
      <w:r>
        <w:separator/>
      </w:r>
    </w:p>
  </w:endnote>
  <w:endnote w:type="continuationSeparator" w:id="0">
    <w:p w14:paraId="6A5F2AE2" w14:textId="77777777" w:rsidR="001A7936" w:rsidRDefault="001A7936" w:rsidP="001F32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C3E2" w14:textId="1FF7E1FC" w:rsidR="007E2F05" w:rsidRDefault="002A1EAF" w:rsidP="00A36CC0">
    <w:pPr>
      <w:pStyle w:val="Footer"/>
      <w:tabs>
        <w:tab w:val="clear" w:pos="4513"/>
        <w:tab w:val="clear" w:pos="9026"/>
        <w:tab w:val="right" w:pos="9638"/>
      </w:tabs>
      <w:rPr>
        <w:noProof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E932C8">
      <w:rPr>
        <w:noProof/>
      </w:rPr>
      <w:t>Confidentiality of levy information and documents policy</w:t>
    </w:r>
    <w:r>
      <w:rPr>
        <w:noProof/>
      </w:rPr>
      <w:fldChar w:fldCharType="end"/>
    </w:r>
    <w:r w:rsidR="006A07F5">
      <w:tab/>
    </w:r>
    <w:r w:rsidR="006A07F5">
      <w:fldChar w:fldCharType="begin"/>
    </w:r>
    <w:r w:rsidR="006A07F5">
      <w:instrText xml:space="preserve"> PAGE   \* MERGEFORMAT </w:instrText>
    </w:r>
    <w:r w:rsidR="006A07F5">
      <w:fldChar w:fldCharType="separate"/>
    </w:r>
    <w:r w:rsidR="004C0015">
      <w:rPr>
        <w:noProof/>
      </w:rPr>
      <w:t>2</w:t>
    </w:r>
    <w:r w:rsidR="006A07F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AD88" w14:textId="009B7AB7" w:rsidR="009D1886" w:rsidRDefault="002A1EAF" w:rsidP="00A36CC0">
    <w:pPr>
      <w:pStyle w:val="Footer"/>
      <w:tabs>
        <w:tab w:val="clear" w:pos="4513"/>
        <w:tab w:val="clear" w:pos="9026"/>
        <w:tab w:val="right" w:pos="9638"/>
      </w:tabs>
    </w:pPr>
    <w:r>
      <w:fldChar w:fldCharType="begin"/>
    </w:r>
    <w:r>
      <w:instrText xml:space="preserve"> FILENAME  \* MERGEFORMAT </w:instrText>
    </w:r>
    <w:r>
      <w:fldChar w:fldCharType="separate"/>
    </w:r>
    <w:r w:rsidR="00E932C8">
      <w:rPr>
        <w:noProof/>
      </w:rPr>
      <w:t xml:space="preserve">Confidentiality of levy information and documents policy </w:t>
    </w:r>
    <w:r>
      <w:rPr>
        <w:noProof/>
      </w:rPr>
      <w:fldChar w:fldCharType="end"/>
    </w:r>
    <w:r w:rsidR="009D1886">
      <w:tab/>
    </w:r>
    <w:r w:rsidR="009D1886">
      <w:fldChar w:fldCharType="begin"/>
    </w:r>
    <w:r w:rsidR="009D1886">
      <w:instrText xml:space="preserve"> PAGE   \* MERGEFORMAT </w:instrText>
    </w:r>
    <w:r w:rsidR="009D1886">
      <w:fldChar w:fldCharType="separate"/>
    </w:r>
    <w:r w:rsidR="004C0015">
      <w:rPr>
        <w:noProof/>
      </w:rPr>
      <w:t>1</w:t>
    </w:r>
    <w:r w:rsidR="009D1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7B2B" w14:textId="77777777" w:rsidR="001A7936" w:rsidRDefault="001A7936" w:rsidP="001F321A">
      <w:pPr>
        <w:spacing w:before="0" w:after="0"/>
      </w:pPr>
      <w:r>
        <w:separator/>
      </w:r>
    </w:p>
  </w:footnote>
  <w:footnote w:type="continuationSeparator" w:id="0">
    <w:p w14:paraId="7A5390D7" w14:textId="77777777" w:rsidR="001A7936" w:rsidRDefault="001A7936" w:rsidP="001F32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32C" w14:textId="3EB0D42D" w:rsidR="001F321A" w:rsidRPr="001F321A" w:rsidRDefault="002A1EAF" w:rsidP="001F321A">
    <w:pPr>
      <w:pStyle w:val="Header"/>
    </w:pPr>
    <w:sdt>
      <w:sdtPr>
        <w:alias w:val="Subject"/>
        <w:tag w:val=""/>
        <w:id w:val="89154287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318F">
          <w:t>Policy</w:t>
        </w:r>
      </w:sdtContent>
    </w:sdt>
    <w:r w:rsidR="00EC5697">
      <w:t xml:space="preserve"> - </w:t>
    </w:r>
    <w:sdt>
      <w:sdtPr>
        <w:alias w:val="Title"/>
        <w:tag w:val=""/>
        <w:id w:val="21154358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5F9F">
          <w:t>Confidentiality of levy information and documents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803D" w14:textId="104AE5A3" w:rsidR="009D1886" w:rsidRDefault="002A1EAF" w:rsidP="009D1886">
    <w:pPr>
      <w:pStyle w:val="InformationType"/>
    </w:pPr>
    <w:sdt>
      <w:sdtPr>
        <w:alias w:val="Subject"/>
        <w:tag w:val=""/>
        <w:id w:val="156699154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318F">
          <w:t>Policy</w:t>
        </w:r>
      </w:sdtContent>
    </w:sdt>
  </w:p>
  <w:p w14:paraId="5CD57694" w14:textId="77777777" w:rsidR="009D1886" w:rsidRDefault="009D1886" w:rsidP="009D1886">
    <w:pPr>
      <w:pStyle w:val="DocumentCode"/>
    </w:pPr>
    <w:r w:rsidRPr="00477964">
      <w:rPr>
        <w:noProof/>
        <w:lang w:eastAsia="en-NZ"/>
      </w:rPr>
      <w:drawing>
        <wp:anchor distT="0" distB="0" distL="114300" distR="114300" simplePos="0" relativeHeight="251657216" behindDoc="0" locked="0" layoutInCell="1" allowOverlap="1" wp14:anchorId="5245B267" wp14:editId="56DA0B9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260000" cy="6372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NZ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33047B" w14:textId="77777777" w:rsidR="009D1886" w:rsidRPr="009D1886" w:rsidRDefault="009D1886" w:rsidP="009D18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DE5F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6AB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326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4EE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BA59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EAA7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A0D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D47D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3E6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C6EE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00C50"/>
    <w:multiLevelType w:val="hybridMultilevel"/>
    <w:tmpl w:val="A09C0300"/>
    <w:lvl w:ilvl="0" w:tplc="583A2592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85496C0">
      <w:start w:val="1"/>
      <w:numFmt w:val="bullet"/>
      <w:pStyle w:val="TableBulle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76CAF"/>
    <w:multiLevelType w:val="multilevel"/>
    <w:tmpl w:val="741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F0F85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762194"/>
    <w:multiLevelType w:val="hybridMultilevel"/>
    <w:tmpl w:val="5CF6DBC8"/>
    <w:lvl w:ilvl="0" w:tplc="1CDA5280">
      <w:start w:val="1"/>
      <w:numFmt w:val="bullet"/>
      <w:pStyle w:val="Bullet3"/>
      <w:lvlText w:val=""/>
      <w:lvlJc w:val="left"/>
      <w:pPr>
        <w:ind w:left="1072" w:hanging="352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49E5"/>
    <w:multiLevelType w:val="hybridMultilevel"/>
    <w:tmpl w:val="5584048E"/>
    <w:lvl w:ilvl="0" w:tplc="266C51D2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52080"/>
    <w:multiLevelType w:val="multilevel"/>
    <w:tmpl w:val="068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E11"/>
    <w:multiLevelType w:val="hybridMultilevel"/>
    <w:tmpl w:val="0B3A2B32"/>
    <w:lvl w:ilvl="0" w:tplc="83106266">
      <w:start w:val="1"/>
      <w:numFmt w:val="lowerRoman"/>
      <w:pStyle w:val="Number3"/>
      <w:lvlText w:val="%1."/>
      <w:lvlJc w:val="right"/>
      <w:pPr>
        <w:ind w:left="1077" w:hanging="35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1280662"/>
    <w:multiLevelType w:val="hybridMultilevel"/>
    <w:tmpl w:val="36688EBE"/>
    <w:lvl w:ilvl="0" w:tplc="7D22E604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909EE4">
      <w:numFmt w:val="bullet"/>
      <w:lvlText w:val="•"/>
      <w:lvlJc w:val="left"/>
      <w:pPr>
        <w:ind w:left="801" w:hanging="284"/>
      </w:pPr>
      <w:rPr>
        <w:rFonts w:hint="default"/>
        <w:lang w:val="en-US" w:eastAsia="en-US" w:bidi="ar-SA"/>
      </w:rPr>
    </w:lvl>
    <w:lvl w:ilvl="2" w:tplc="3A86B25A">
      <w:numFmt w:val="bullet"/>
      <w:lvlText w:val="•"/>
      <w:lvlJc w:val="left"/>
      <w:pPr>
        <w:ind w:left="1202" w:hanging="284"/>
      </w:pPr>
      <w:rPr>
        <w:rFonts w:hint="default"/>
        <w:lang w:val="en-US" w:eastAsia="en-US" w:bidi="ar-SA"/>
      </w:rPr>
    </w:lvl>
    <w:lvl w:ilvl="3" w:tplc="CECE3576">
      <w:numFmt w:val="bullet"/>
      <w:lvlText w:val="•"/>
      <w:lvlJc w:val="left"/>
      <w:pPr>
        <w:ind w:left="1604" w:hanging="284"/>
      </w:pPr>
      <w:rPr>
        <w:rFonts w:hint="default"/>
        <w:lang w:val="en-US" w:eastAsia="en-US" w:bidi="ar-SA"/>
      </w:rPr>
    </w:lvl>
    <w:lvl w:ilvl="4" w:tplc="681218B4"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5" w:tplc="2112FD6A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6" w:tplc="6A84D088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  <w:lvl w:ilvl="7" w:tplc="AEBE5F52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ar-SA"/>
      </w:rPr>
    </w:lvl>
    <w:lvl w:ilvl="8" w:tplc="5060E86A">
      <w:numFmt w:val="bullet"/>
      <w:lvlText w:val="•"/>
      <w:lvlJc w:val="left"/>
      <w:pPr>
        <w:ind w:left="361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4C7C4C"/>
    <w:multiLevelType w:val="hybridMultilevel"/>
    <w:tmpl w:val="89E21296"/>
    <w:lvl w:ilvl="0" w:tplc="B5C019F6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75E2C"/>
    <w:multiLevelType w:val="hybridMultilevel"/>
    <w:tmpl w:val="20E2D49C"/>
    <w:lvl w:ilvl="0" w:tplc="09A686C0">
      <w:start w:val="1"/>
      <w:numFmt w:val="lowerLetter"/>
      <w:pStyle w:val="Number2"/>
      <w:lvlText w:val="%1."/>
      <w:lvlJc w:val="left"/>
      <w:pPr>
        <w:ind w:left="720" w:hanging="363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E03174"/>
    <w:multiLevelType w:val="hybridMultilevel"/>
    <w:tmpl w:val="AE94E294"/>
    <w:lvl w:ilvl="0" w:tplc="D242B0D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6A1294">
      <w:start w:val="1"/>
      <w:numFmt w:val="lowerLetter"/>
      <w:lvlText w:val="%2."/>
      <w:lvlJc w:val="left"/>
      <w:pPr>
        <w:ind w:left="1080" w:hanging="360"/>
      </w:pPr>
    </w:lvl>
    <w:lvl w:ilvl="2" w:tplc="3256824A" w:tentative="1">
      <w:start w:val="1"/>
      <w:numFmt w:val="lowerRoman"/>
      <w:lvlText w:val="%3."/>
      <w:lvlJc w:val="right"/>
      <w:pPr>
        <w:ind w:left="1800" w:hanging="180"/>
      </w:pPr>
    </w:lvl>
    <w:lvl w:ilvl="3" w:tplc="C62E8CE8" w:tentative="1">
      <w:start w:val="1"/>
      <w:numFmt w:val="decimal"/>
      <w:lvlText w:val="%4."/>
      <w:lvlJc w:val="left"/>
      <w:pPr>
        <w:ind w:left="2520" w:hanging="360"/>
      </w:pPr>
    </w:lvl>
    <w:lvl w:ilvl="4" w:tplc="281AB850" w:tentative="1">
      <w:start w:val="1"/>
      <w:numFmt w:val="lowerLetter"/>
      <w:lvlText w:val="%5."/>
      <w:lvlJc w:val="left"/>
      <w:pPr>
        <w:ind w:left="3240" w:hanging="360"/>
      </w:pPr>
    </w:lvl>
    <w:lvl w:ilvl="5" w:tplc="56B49AFA" w:tentative="1">
      <w:start w:val="1"/>
      <w:numFmt w:val="lowerRoman"/>
      <w:lvlText w:val="%6."/>
      <w:lvlJc w:val="right"/>
      <w:pPr>
        <w:ind w:left="3960" w:hanging="180"/>
      </w:pPr>
    </w:lvl>
    <w:lvl w:ilvl="6" w:tplc="0D76C4D2" w:tentative="1">
      <w:start w:val="1"/>
      <w:numFmt w:val="decimal"/>
      <w:lvlText w:val="%7."/>
      <w:lvlJc w:val="left"/>
      <w:pPr>
        <w:ind w:left="4680" w:hanging="360"/>
      </w:pPr>
    </w:lvl>
    <w:lvl w:ilvl="7" w:tplc="25FC981A" w:tentative="1">
      <w:start w:val="1"/>
      <w:numFmt w:val="lowerLetter"/>
      <w:lvlText w:val="%8."/>
      <w:lvlJc w:val="left"/>
      <w:pPr>
        <w:ind w:left="5400" w:hanging="360"/>
      </w:pPr>
    </w:lvl>
    <w:lvl w:ilvl="8" w:tplc="B5A632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25F32"/>
    <w:multiLevelType w:val="hybridMultilevel"/>
    <w:tmpl w:val="689EF928"/>
    <w:lvl w:ilvl="0" w:tplc="35CEB15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A26CB8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33F82720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5866E37"/>
    <w:multiLevelType w:val="hybridMultilevel"/>
    <w:tmpl w:val="720C8F02"/>
    <w:lvl w:ilvl="0" w:tplc="A41094B6">
      <w:start w:val="1"/>
      <w:numFmt w:val="decimal"/>
      <w:pStyle w:val="Number1"/>
      <w:lvlText w:val="%1."/>
      <w:lvlJc w:val="left"/>
      <w:pPr>
        <w:ind w:left="357" w:hanging="35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22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675D8D"/>
    <w:multiLevelType w:val="hybridMultilevel"/>
    <w:tmpl w:val="30D245C6"/>
    <w:lvl w:ilvl="0" w:tplc="93D84D1C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A6EA8"/>
    <w:multiLevelType w:val="hybridMultilevel"/>
    <w:tmpl w:val="28A6AC6E"/>
    <w:lvl w:ilvl="0" w:tplc="78248290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90F9A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141351F"/>
    <w:multiLevelType w:val="multilevel"/>
    <w:tmpl w:val="3150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F0719"/>
    <w:multiLevelType w:val="hybridMultilevel"/>
    <w:tmpl w:val="EB52504E"/>
    <w:lvl w:ilvl="0" w:tplc="EE18D8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56CD"/>
    <w:multiLevelType w:val="multilevel"/>
    <w:tmpl w:val="9A48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25BB4"/>
    <w:multiLevelType w:val="multilevel"/>
    <w:tmpl w:val="7F88E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88185632">
    <w:abstractNumId w:val="20"/>
  </w:num>
  <w:num w:numId="2" w16cid:durableId="1438403017">
    <w:abstractNumId w:val="24"/>
  </w:num>
  <w:num w:numId="3" w16cid:durableId="1854680525">
    <w:abstractNumId w:val="24"/>
  </w:num>
  <w:num w:numId="4" w16cid:durableId="1614090725">
    <w:abstractNumId w:val="14"/>
  </w:num>
  <w:num w:numId="5" w16cid:durableId="231430650">
    <w:abstractNumId w:val="18"/>
  </w:num>
  <w:num w:numId="6" w16cid:durableId="1345014099">
    <w:abstractNumId w:val="9"/>
  </w:num>
  <w:num w:numId="7" w16cid:durableId="1256943263">
    <w:abstractNumId w:val="7"/>
  </w:num>
  <w:num w:numId="8" w16cid:durableId="995110454">
    <w:abstractNumId w:val="6"/>
  </w:num>
  <w:num w:numId="9" w16cid:durableId="949317357">
    <w:abstractNumId w:val="5"/>
  </w:num>
  <w:num w:numId="10" w16cid:durableId="776214581">
    <w:abstractNumId w:val="4"/>
  </w:num>
  <w:num w:numId="11" w16cid:durableId="2056849545">
    <w:abstractNumId w:val="8"/>
  </w:num>
  <w:num w:numId="12" w16cid:durableId="738556514">
    <w:abstractNumId w:val="3"/>
  </w:num>
  <w:num w:numId="13" w16cid:durableId="1090540502">
    <w:abstractNumId w:val="2"/>
  </w:num>
  <w:num w:numId="14" w16cid:durableId="1732121367">
    <w:abstractNumId w:val="1"/>
  </w:num>
  <w:num w:numId="15" w16cid:durableId="1115368462">
    <w:abstractNumId w:val="0"/>
  </w:num>
  <w:num w:numId="16" w16cid:durableId="510291758">
    <w:abstractNumId w:val="23"/>
  </w:num>
  <w:num w:numId="17" w16cid:durableId="465509310">
    <w:abstractNumId w:val="12"/>
  </w:num>
  <w:num w:numId="18" w16cid:durableId="1444768320">
    <w:abstractNumId w:val="26"/>
  </w:num>
  <w:num w:numId="19" w16cid:durableId="1694451411">
    <w:abstractNumId w:val="21"/>
  </w:num>
  <w:num w:numId="20" w16cid:durableId="1916931238">
    <w:abstractNumId w:val="25"/>
  </w:num>
  <w:num w:numId="21" w16cid:durableId="1012532921">
    <w:abstractNumId w:val="13"/>
  </w:num>
  <w:num w:numId="22" w16cid:durableId="1404453038">
    <w:abstractNumId w:val="22"/>
  </w:num>
  <w:num w:numId="23" w16cid:durableId="1917665069">
    <w:abstractNumId w:val="19"/>
  </w:num>
  <w:num w:numId="24" w16cid:durableId="616183947">
    <w:abstractNumId w:val="16"/>
  </w:num>
  <w:num w:numId="25" w16cid:durableId="1836337261">
    <w:abstractNumId w:val="28"/>
  </w:num>
  <w:num w:numId="26" w16cid:durableId="175964752">
    <w:abstractNumId w:val="10"/>
  </w:num>
  <w:num w:numId="27" w16cid:durableId="1787769851">
    <w:abstractNumId w:val="10"/>
    <w:lvlOverride w:ilvl="0">
      <w:startOverride w:val="1"/>
    </w:lvlOverride>
  </w:num>
  <w:num w:numId="28" w16cid:durableId="1989942317">
    <w:abstractNumId w:val="17"/>
  </w:num>
  <w:num w:numId="29" w16cid:durableId="1963415984">
    <w:abstractNumId w:val="30"/>
  </w:num>
  <w:num w:numId="30" w16cid:durableId="1019894770">
    <w:abstractNumId w:val="27"/>
  </w:num>
  <w:num w:numId="31" w16cid:durableId="1461919836">
    <w:abstractNumId w:val="15"/>
  </w:num>
  <w:num w:numId="32" w16cid:durableId="506598294">
    <w:abstractNumId w:val="11"/>
  </w:num>
  <w:num w:numId="33" w16cid:durableId="10101771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9F"/>
    <w:rsid w:val="00000FB6"/>
    <w:rsid w:val="00017EB5"/>
    <w:rsid w:val="00061494"/>
    <w:rsid w:val="00066EB5"/>
    <w:rsid w:val="00067DA5"/>
    <w:rsid w:val="0007030E"/>
    <w:rsid w:val="00081089"/>
    <w:rsid w:val="000B160F"/>
    <w:rsid w:val="000C3939"/>
    <w:rsid w:val="00105F9F"/>
    <w:rsid w:val="00154A47"/>
    <w:rsid w:val="0015534C"/>
    <w:rsid w:val="00181C0C"/>
    <w:rsid w:val="001A00A7"/>
    <w:rsid w:val="001A7936"/>
    <w:rsid w:val="001F321A"/>
    <w:rsid w:val="00275302"/>
    <w:rsid w:val="002779A8"/>
    <w:rsid w:val="002826AB"/>
    <w:rsid w:val="002A1EAF"/>
    <w:rsid w:val="00311198"/>
    <w:rsid w:val="00314674"/>
    <w:rsid w:val="003177C6"/>
    <w:rsid w:val="003345D2"/>
    <w:rsid w:val="003A1354"/>
    <w:rsid w:val="00403FC6"/>
    <w:rsid w:val="0044229E"/>
    <w:rsid w:val="004507C5"/>
    <w:rsid w:val="0045597D"/>
    <w:rsid w:val="00464B9E"/>
    <w:rsid w:val="00472C81"/>
    <w:rsid w:val="004817FF"/>
    <w:rsid w:val="00490FE8"/>
    <w:rsid w:val="004973F5"/>
    <w:rsid w:val="004A4093"/>
    <w:rsid w:val="004B1B2F"/>
    <w:rsid w:val="004C0015"/>
    <w:rsid w:val="004C5926"/>
    <w:rsid w:val="00553725"/>
    <w:rsid w:val="0057254A"/>
    <w:rsid w:val="00585162"/>
    <w:rsid w:val="005B2701"/>
    <w:rsid w:val="005D5892"/>
    <w:rsid w:val="005E2EE0"/>
    <w:rsid w:val="005F2D29"/>
    <w:rsid w:val="005F58C8"/>
    <w:rsid w:val="0061196D"/>
    <w:rsid w:val="00627E02"/>
    <w:rsid w:val="00632D58"/>
    <w:rsid w:val="00646107"/>
    <w:rsid w:val="00676BF0"/>
    <w:rsid w:val="00681861"/>
    <w:rsid w:val="006A07F5"/>
    <w:rsid w:val="006D7DA8"/>
    <w:rsid w:val="00704A19"/>
    <w:rsid w:val="00723B51"/>
    <w:rsid w:val="0072524E"/>
    <w:rsid w:val="00727EE1"/>
    <w:rsid w:val="00731DDF"/>
    <w:rsid w:val="007574CC"/>
    <w:rsid w:val="007C2898"/>
    <w:rsid w:val="007C5153"/>
    <w:rsid w:val="007D6D91"/>
    <w:rsid w:val="007E2F05"/>
    <w:rsid w:val="00807B49"/>
    <w:rsid w:val="00826887"/>
    <w:rsid w:val="0084535A"/>
    <w:rsid w:val="008759F9"/>
    <w:rsid w:val="00876C3D"/>
    <w:rsid w:val="008906A0"/>
    <w:rsid w:val="008C5130"/>
    <w:rsid w:val="008D0CCC"/>
    <w:rsid w:val="008F405E"/>
    <w:rsid w:val="00906563"/>
    <w:rsid w:val="00915196"/>
    <w:rsid w:val="0092447C"/>
    <w:rsid w:val="009966A2"/>
    <w:rsid w:val="009D1886"/>
    <w:rsid w:val="009D34F1"/>
    <w:rsid w:val="009F2E25"/>
    <w:rsid w:val="00A0485B"/>
    <w:rsid w:val="00A100DC"/>
    <w:rsid w:val="00A15D42"/>
    <w:rsid w:val="00A27090"/>
    <w:rsid w:val="00A36CC0"/>
    <w:rsid w:val="00A415BC"/>
    <w:rsid w:val="00A53032"/>
    <w:rsid w:val="00A545E9"/>
    <w:rsid w:val="00A60CBA"/>
    <w:rsid w:val="00A61500"/>
    <w:rsid w:val="00A63897"/>
    <w:rsid w:val="00A649DD"/>
    <w:rsid w:val="00A72FB7"/>
    <w:rsid w:val="00AB6CF4"/>
    <w:rsid w:val="00AB7BC5"/>
    <w:rsid w:val="00AC7DE7"/>
    <w:rsid w:val="00AE214F"/>
    <w:rsid w:val="00B10E90"/>
    <w:rsid w:val="00B17610"/>
    <w:rsid w:val="00B236CC"/>
    <w:rsid w:val="00B30F9D"/>
    <w:rsid w:val="00B40156"/>
    <w:rsid w:val="00BC547B"/>
    <w:rsid w:val="00BE4D8A"/>
    <w:rsid w:val="00C02426"/>
    <w:rsid w:val="00C240B9"/>
    <w:rsid w:val="00C248CF"/>
    <w:rsid w:val="00C250B8"/>
    <w:rsid w:val="00C254D7"/>
    <w:rsid w:val="00C52F9A"/>
    <w:rsid w:val="00C56874"/>
    <w:rsid w:val="00C91C75"/>
    <w:rsid w:val="00CA093D"/>
    <w:rsid w:val="00CC0033"/>
    <w:rsid w:val="00CC0FA9"/>
    <w:rsid w:val="00CD4862"/>
    <w:rsid w:val="00CE680D"/>
    <w:rsid w:val="00CE6D1C"/>
    <w:rsid w:val="00D236FE"/>
    <w:rsid w:val="00D32048"/>
    <w:rsid w:val="00D40DC4"/>
    <w:rsid w:val="00D5454F"/>
    <w:rsid w:val="00D806DA"/>
    <w:rsid w:val="00D947C0"/>
    <w:rsid w:val="00DB77FB"/>
    <w:rsid w:val="00DC19A3"/>
    <w:rsid w:val="00DD5DDF"/>
    <w:rsid w:val="00E307B6"/>
    <w:rsid w:val="00E72F5E"/>
    <w:rsid w:val="00E7318F"/>
    <w:rsid w:val="00E932C8"/>
    <w:rsid w:val="00EA6AF5"/>
    <w:rsid w:val="00EC5697"/>
    <w:rsid w:val="00EF03C0"/>
    <w:rsid w:val="00F506FA"/>
    <w:rsid w:val="00F91F4A"/>
    <w:rsid w:val="00FA0820"/>
    <w:rsid w:val="00FA2581"/>
    <w:rsid w:val="00FE154D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B429"/>
  <w15:chartTrackingRefBased/>
  <w15:docId w15:val="{1F8ABA64-1509-4DDC-AEEF-AD4F1B07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DD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3"/>
    <w:qFormat/>
    <w:rsid w:val="00314674"/>
    <w:pPr>
      <w:keepNext/>
      <w:keepLines/>
      <w:spacing w:before="240"/>
      <w:outlineLvl w:val="0"/>
    </w:pPr>
    <w:rPr>
      <w:rFonts w:eastAsiaTheme="majorEastAsia" w:cstheme="majorBidi"/>
      <w:b/>
      <w:color w:val="ED1C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44229E"/>
    <w:pPr>
      <w:keepNext/>
      <w:keepLines/>
      <w:spacing w:before="200"/>
      <w:outlineLvl w:val="1"/>
    </w:pPr>
    <w:rPr>
      <w:rFonts w:eastAsiaTheme="majorEastAsia" w:cstheme="majorBidi"/>
      <w:b/>
      <w:color w:val="180F5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60CBA"/>
    <w:pPr>
      <w:keepNext/>
      <w:keepLines/>
      <w:spacing w:before="200"/>
      <w:outlineLvl w:val="2"/>
    </w:pPr>
    <w:rPr>
      <w:rFonts w:eastAsiaTheme="majorEastAsia" w:cstheme="majorBidi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3"/>
    <w:qFormat/>
    <w:rsid w:val="008759F9"/>
    <w:pPr>
      <w:outlineLvl w:val="3"/>
    </w:pPr>
    <w:rPr>
      <w:b/>
      <w:color w:val="ED1C24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4973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4973F5"/>
    <w:rPr>
      <w:rFonts w:eastAsiaTheme="majorEastAsia" w:cstheme="majorBidi"/>
      <w:b/>
      <w:color w:val="180F5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4973F5"/>
    <w:rPr>
      <w:rFonts w:eastAsiaTheme="majorEastAsia" w:cstheme="majorBidi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3"/>
    <w:rsid w:val="008759F9"/>
    <w:rPr>
      <w:b/>
      <w:color w:val="ED1C24"/>
    </w:rPr>
  </w:style>
  <w:style w:type="character" w:customStyle="1" w:styleId="Heading1Char">
    <w:name w:val="Heading 1 Char"/>
    <w:basedOn w:val="DefaultParagraphFont"/>
    <w:link w:val="Heading1"/>
    <w:uiPriority w:val="3"/>
    <w:rsid w:val="00314674"/>
    <w:rPr>
      <w:rFonts w:eastAsiaTheme="majorEastAsia" w:cstheme="majorBidi"/>
      <w:b/>
      <w:color w:val="ED1C24"/>
      <w:sz w:val="32"/>
      <w:szCs w:val="32"/>
    </w:rPr>
  </w:style>
  <w:style w:type="paragraph" w:customStyle="1" w:styleId="LetterCode">
    <w:name w:val="Letter Code"/>
    <w:basedOn w:val="Header"/>
    <w:uiPriority w:val="1"/>
    <w:semiHidden/>
    <w:qFormat/>
    <w:rsid w:val="005E2EE0"/>
    <w:pPr>
      <w:widowControl w:val="0"/>
      <w:tabs>
        <w:tab w:val="clear" w:pos="4513"/>
        <w:tab w:val="clear" w:pos="9026"/>
      </w:tabs>
      <w:ind w:right="-1192"/>
    </w:pPr>
    <w:rPr>
      <w:rFonts w:ascii="Calibri" w:eastAsia="Arial" w:hAnsi="Calibri" w:cs="Arial"/>
      <w:noProof/>
      <w:color w:val="000000" w:themeColor="text1"/>
      <w:sz w:val="18"/>
      <w:szCs w:val="28"/>
      <w:lang w:eastAsia="en-NZ"/>
      <w14:textFill>
        <w14:solidFill>
          <w14:schemeClr w14:val="tx1">
            <w14:lumMod w14:val="50000"/>
            <w14:lumOff w14:val="50000"/>
            <w14:lumMod w14:val="50000"/>
            <w14:lumOff w14:val="50000"/>
          </w14:schemeClr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AC7DE7"/>
    <w:pPr>
      <w:pBdr>
        <w:bottom w:val="single" w:sz="2" w:space="1" w:color="808080" w:themeColor="background1" w:themeShade="80"/>
      </w:pBdr>
      <w:tabs>
        <w:tab w:val="center" w:pos="4513"/>
        <w:tab w:val="right" w:pos="9026"/>
      </w:tabs>
      <w:spacing w:before="0"/>
      <w:jc w:val="right"/>
    </w:pPr>
    <w:rPr>
      <w:color w:val="808080" w:themeColor="background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C7DE7"/>
    <w:rPr>
      <w:color w:val="808080" w:themeColor="background1" w:themeShade="80"/>
      <w:sz w:val="20"/>
    </w:rPr>
  </w:style>
  <w:style w:type="character" w:styleId="Hyperlink">
    <w:name w:val="Hyperlink"/>
    <w:basedOn w:val="DefaultParagraphFont"/>
    <w:uiPriority w:val="1"/>
    <w:rsid w:val="00A27090"/>
    <w:rPr>
      <w:color w:val="4147D3"/>
      <w:u w:val="single"/>
    </w:rPr>
  </w:style>
  <w:style w:type="paragraph" w:customStyle="1" w:styleId="Bullet1">
    <w:name w:val="Bullet 1"/>
    <w:basedOn w:val="Normal"/>
    <w:autoRedefine/>
    <w:uiPriority w:val="4"/>
    <w:qFormat/>
    <w:rsid w:val="00A100DC"/>
    <w:pPr>
      <w:numPr>
        <w:numId w:val="19"/>
      </w:numPr>
      <w:spacing w:before="0" w:after="0"/>
    </w:pPr>
  </w:style>
  <w:style w:type="paragraph" w:customStyle="1" w:styleId="Bullet2">
    <w:name w:val="Bullet 2"/>
    <w:basedOn w:val="Bullet1"/>
    <w:uiPriority w:val="4"/>
    <w:qFormat/>
    <w:rsid w:val="00E307B6"/>
    <w:pPr>
      <w:numPr>
        <w:numId w:val="20"/>
      </w:numPr>
    </w:pPr>
  </w:style>
  <w:style w:type="paragraph" w:styleId="ListBullet2">
    <w:name w:val="List Bullet 2"/>
    <w:basedOn w:val="Normal"/>
    <w:uiPriority w:val="99"/>
    <w:semiHidden/>
    <w:rsid w:val="00E307B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E307B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rsid w:val="00E307B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rsid w:val="00E307B6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rsid w:val="00E307B6"/>
    <w:pPr>
      <w:numPr>
        <w:numId w:val="6"/>
      </w:numPr>
      <w:contextualSpacing/>
    </w:pPr>
  </w:style>
  <w:style w:type="paragraph" w:customStyle="1" w:styleId="Bullet3">
    <w:name w:val="Bullet 3"/>
    <w:basedOn w:val="Bullet1"/>
    <w:uiPriority w:val="4"/>
    <w:qFormat/>
    <w:rsid w:val="00E307B6"/>
    <w:pPr>
      <w:numPr>
        <w:numId w:val="21"/>
      </w:numPr>
    </w:pPr>
  </w:style>
  <w:style w:type="paragraph" w:customStyle="1" w:styleId="Number1">
    <w:name w:val="Number 1"/>
    <w:basedOn w:val="Normal"/>
    <w:uiPriority w:val="4"/>
    <w:qFormat/>
    <w:rsid w:val="00C250B8"/>
    <w:pPr>
      <w:numPr>
        <w:numId w:val="22"/>
      </w:numPr>
      <w:spacing w:before="60" w:after="60"/>
    </w:pPr>
  </w:style>
  <w:style w:type="paragraph" w:customStyle="1" w:styleId="Number2">
    <w:name w:val="Number 2"/>
    <w:basedOn w:val="Number1"/>
    <w:uiPriority w:val="4"/>
    <w:qFormat/>
    <w:rsid w:val="00E307B6"/>
    <w:pPr>
      <w:numPr>
        <w:numId w:val="23"/>
      </w:numPr>
    </w:pPr>
  </w:style>
  <w:style w:type="paragraph" w:customStyle="1" w:styleId="Number3">
    <w:name w:val="Number 3"/>
    <w:basedOn w:val="Number1"/>
    <w:uiPriority w:val="4"/>
    <w:qFormat/>
    <w:rsid w:val="00E307B6"/>
    <w:pPr>
      <w:numPr>
        <w:numId w:val="24"/>
      </w:numPr>
    </w:pPr>
  </w:style>
  <w:style w:type="paragraph" w:customStyle="1" w:styleId="Indent1">
    <w:name w:val="Indent 1"/>
    <w:basedOn w:val="Normal"/>
    <w:uiPriority w:val="4"/>
    <w:qFormat/>
    <w:rsid w:val="00C250B8"/>
    <w:pPr>
      <w:spacing w:before="60" w:after="60"/>
      <w:ind w:left="357"/>
    </w:pPr>
  </w:style>
  <w:style w:type="paragraph" w:customStyle="1" w:styleId="Indent2">
    <w:name w:val="Indent 2"/>
    <w:basedOn w:val="Indent1"/>
    <w:uiPriority w:val="4"/>
    <w:qFormat/>
    <w:rsid w:val="00000FB6"/>
    <w:pPr>
      <w:ind w:left="720"/>
    </w:pPr>
  </w:style>
  <w:style w:type="paragraph" w:customStyle="1" w:styleId="Indent3">
    <w:name w:val="Indent 3"/>
    <w:basedOn w:val="Indent1"/>
    <w:uiPriority w:val="4"/>
    <w:qFormat/>
    <w:rsid w:val="00000FB6"/>
    <w:pPr>
      <w:ind w:left="1077"/>
    </w:pPr>
  </w:style>
  <w:style w:type="paragraph" w:styleId="Title">
    <w:name w:val="Title"/>
    <w:basedOn w:val="Normal"/>
    <w:next w:val="Normal"/>
    <w:link w:val="TitleChar"/>
    <w:uiPriority w:val="10"/>
    <w:qFormat/>
    <w:rsid w:val="0044229E"/>
    <w:pPr>
      <w:spacing w:before="0" w:after="0"/>
      <w:contextualSpacing/>
    </w:pPr>
    <w:rPr>
      <w:rFonts w:eastAsiaTheme="majorEastAsia" w:cstheme="majorBidi"/>
      <w:b/>
      <w:color w:val="180F5E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D29"/>
    <w:rPr>
      <w:rFonts w:eastAsiaTheme="majorEastAsia" w:cstheme="majorBidi"/>
      <w:b/>
      <w:color w:val="180F5E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000FB6"/>
    <w:rPr>
      <w:color w:val="808080"/>
    </w:rPr>
  </w:style>
  <w:style w:type="paragraph" w:customStyle="1" w:styleId="BlockLabel">
    <w:name w:val="Block Label"/>
    <w:basedOn w:val="Normal"/>
    <w:uiPriority w:val="2"/>
    <w:qFormat/>
    <w:rsid w:val="00C91C75"/>
    <w:pPr>
      <w:outlineLvl w:val="3"/>
    </w:pPr>
    <w:rPr>
      <w:b/>
      <w:color w:val="180F5E"/>
    </w:rPr>
  </w:style>
  <w:style w:type="table" w:styleId="TableGrid">
    <w:name w:val="Table Grid"/>
    <w:basedOn w:val="TableNormal"/>
    <w:uiPriority w:val="39"/>
    <w:rsid w:val="00A6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7DE7"/>
    <w:pPr>
      <w:keepNext/>
      <w:pBdr>
        <w:top w:val="single" w:sz="2" w:space="1" w:color="808080" w:themeColor="background1" w:themeShade="80"/>
      </w:pBdr>
      <w:tabs>
        <w:tab w:val="center" w:pos="4513"/>
        <w:tab w:val="right" w:pos="9026"/>
      </w:tabs>
      <w:spacing w:before="0"/>
    </w:pPr>
    <w:rPr>
      <w:color w:val="808080" w:themeColor="background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7DE7"/>
    <w:rPr>
      <w:color w:val="808080" w:themeColor="background1" w:themeShade="80"/>
      <w:sz w:val="20"/>
    </w:rPr>
  </w:style>
  <w:style w:type="paragraph" w:customStyle="1" w:styleId="InformationType">
    <w:name w:val="Information Type"/>
    <w:basedOn w:val="Normal"/>
    <w:next w:val="Normal"/>
    <w:uiPriority w:val="9"/>
    <w:qFormat/>
    <w:rsid w:val="009D1886"/>
    <w:pPr>
      <w:spacing w:before="0" w:after="0"/>
      <w:jc w:val="right"/>
    </w:pPr>
    <w:rPr>
      <w:color w:val="180F5E"/>
      <w:sz w:val="36"/>
      <w:szCs w:val="36"/>
    </w:rPr>
  </w:style>
  <w:style w:type="paragraph" w:customStyle="1" w:styleId="DocumentCode">
    <w:name w:val="Document Code"/>
    <w:basedOn w:val="Normal"/>
    <w:next w:val="Title"/>
    <w:uiPriority w:val="9"/>
    <w:qFormat/>
    <w:rsid w:val="008906A0"/>
    <w:pPr>
      <w:spacing w:before="0"/>
      <w:jc w:val="right"/>
    </w:pPr>
    <w:rPr>
      <w:color w:val="180F5E"/>
      <w:sz w:val="24"/>
    </w:rPr>
  </w:style>
  <w:style w:type="paragraph" w:customStyle="1" w:styleId="TableText">
    <w:name w:val="Table Text"/>
    <w:basedOn w:val="Normal"/>
    <w:uiPriority w:val="4"/>
    <w:qFormat/>
    <w:rsid w:val="00A72FB7"/>
    <w:pPr>
      <w:spacing w:before="60" w:after="60"/>
    </w:pPr>
    <w:rPr>
      <w:sz w:val="20"/>
      <w:szCs w:val="20"/>
    </w:rPr>
  </w:style>
  <w:style w:type="paragraph" w:customStyle="1" w:styleId="TableHeading">
    <w:name w:val="Table Heading"/>
    <w:basedOn w:val="TableText"/>
    <w:uiPriority w:val="5"/>
    <w:qFormat/>
    <w:rsid w:val="00314674"/>
    <w:rPr>
      <w:color w:val="180F5E"/>
    </w:rPr>
  </w:style>
  <w:style w:type="paragraph" w:customStyle="1" w:styleId="TableSubheading">
    <w:name w:val="Table Subheading"/>
    <w:basedOn w:val="TableHeading"/>
    <w:uiPriority w:val="5"/>
    <w:qFormat/>
    <w:rsid w:val="004A4093"/>
  </w:style>
  <w:style w:type="paragraph" w:customStyle="1" w:styleId="TableBullet1">
    <w:name w:val="Table Bullet 1"/>
    <w:basedOn w:val="TableText"/>
    <w:uiPriority w:val="5"/>
    <w:qFormat/>
    <w:rsid w:val="004A4093"/>
    <w:pPr>
      <w:numPr>
        <w:numId w:val="26"/>
      </w:numPr>
    </w:pPr>
  </w:style>
  <w:style w:type="paragraph" w:customStyle="1" w:styleId="TableBullet2">
    <w:name w:val="Table Bullet 2"/>
    <w:basedOn w:val="TableBullet1"/>
    <w:uiPriority w:val="5"/>
    <w:qFormat/>
    <w:rsid w:val="004A4093"/>
    <w:pPr>
      <w:numPr>
        <w:ilvl w:val="1"/>
      </w:numPr>
    </w:pPr>
  </w:style>
  <w:style w:type="paragraph" w:customStyle="1" w:styleId="Heading3Supplemental">
    <w:name w:val="Heading 3 Supplemental"/>
    <w:basedOn w:val="Heading3"/>
    <w:next w:val="Normal"/>
    <w:uiPriority w:val="9"/>
    <w:qFormat/>
    <w:rsid w:val="00704A19"/>
    <w:pPr>
      <w:outlineLvl w:val="9"/>
    </w:pPr>
    <w:rPr>
      <w:color w:val="ED1C24"/>
    </w:rPr>
  </w:style>
  <w:style w:type="paragraph" w:customStyle="1" w:styleId="Instruction">
    <w:name w:val="Instruction"/>
    <w:basedOn w:val="Normal"/>
    <w:uiPriority w:val="9"/>
    <w:qFormat/>
    <w:rsid w:val="004817FF"/>
    <w:rPr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4973F5"/>
    <w:rPr>
      <w:rFonts w:asciiTheme="majorHAnsi" w:eastAsiaTheme="majorEastAsia" w:hAnsiTheme="majorHAnsi" w:cstheme="majorBidi"/>
      <w:color w:val="B70E14" w:themeColor="accent1" w:themeShade="BF"/>
    </w:rPr>
  </w:style>
  <w:style w:type="paragraph" w:customStyle="1" w:styleId="Image">
    <w:name w:val="Image"/>
    <w:basedOn w:val="Normal"/>
    <w:next w:val="ImageCaption"/>
    <w:uiPriority w:val="3"/>
    <w:qFormat/>
    <w:rsid w:val="0057254A"/>
    <w:pPr>
      <w:keepNext/>
      <w:jc w:val="center"/>
    </w:pPr>
  </w:style>
  <w:style w:type="paragraph" w:customStyle="1" w:styleId="ImageCaption">
    <w:name w:val="Image Caption"/>
    <w:basedOn w:val="Image"/>
    <w:next w:val="Normal"/>
    <w:uiPriority w:val="3"/>
    <w:qFormat/>
    <w:rsid w:val="00B236CC"/>
    <w:pPr>
      <w:spacing w:before="60"/>
    </w:pPr>
    <w:rPr>
      <w:b/>
      <w:sz w:val="18"/>
    </w:rPr>
  </w:style>
  <w:style w:type="paragraph" w:customStyle="1" w:styleId="TableCaption">
    <w:name w:val="Table Caption"/>
    <w:basedOn w:val="Normal"/>
    <w:next w:val="Normal"/>
    <w:uiPriority w:val="6"/>
    <w:qFormat/>
    <w:rsid w:val="00B236CC"/>
    <w:pPr>
      <w:spacing w:before="60"/>
    </w:pPr>
    <w:rPr>
      <w:b/>
      <w:sz w:val="18"/>
    </w:rPr>
  </w:style>
  <w:style w:type="paragraph" w:customStyle="1" w:styleId="SectionHeader">
    <w:name w:val="Section Header"/>
    <w:basedOn w:val="Normal"/>
    <w:qFormat/>
    <w:rsid w:val="008906A0"/>
    <w:pPr>
      <w:spacing w:before="60" w:after="60"/>
    </w:pPr>
    <w:rPr>
      <w:b/>
    </w:rPr>
  </w:style>
  <w:style w:type="paragraph" w:customStyle="1" w:styleId="FieldLabel">
    <w:name w:val="Field Label"/>
    <w:basedOn w:val="TableText"/>
    <w:qFormat/>
    <w:rsid w:val="00AE214F"/>
    <w:pPr>
      <w:spacing w:before="120" w:after="120"/>
    </w:pPr>
    <w:rPr>
      <w:b/>
    </w:rPr>
  </w:style>
  <w:style w:type="paragraph" w:customStyle="1" w:styleId="FieldText">
    <w:name w:val="Field Text"/>
    <w:basedOn w:val="TableText"/>
    <w:qFormat/>
    <w:rsid w:val="00906563"/>
    <w:pPr>
      <w:spacing w:before="120" w:after="120"/>
    </w:pPr>
  </w:style>
  <w:style w:type="paragraph" w:customStyle="1" w:styleId="SmallText">
    <w:name w:val="Small Text"/>
    <w:basedOn w:val="Normal"/>
    <w:qFormat/>
    <w:rsid w:val="00067DA5"/>
    <w:pPr>
      <w:spacing w:before="0" w:after="0"/>
    </w:pPr>
    <w:rPr>
      <w:sz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96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96D"/>
    <w:rPr>
      <w:sz w:val="18"/>
      <w:szCs w:val="20"/>
    </w:rPr>
  </w:style>
  <w:style w:type="paragraph" w:customStyle="1" w:styleId="FieldTextCheckbox">
    <w:name w:val="Field Text Checkbox"/>
    <w:basedOn w:val="FieldText"/>
    <w:qFormat/>
    <w:rsid w:val="00906563"/>
    <w:pPr>
      <w:tabs>
        <w:tab w:val="left" w:pos="284"/>
      </w:tabs>
      <w:ind w:left="284" w:hanging="284"/>
    </w:pPr>
  </w:style>
  <w:style w:type="paragraph" w:customStyle="1" w:styleId="ImportantInfo">
    <w:name w:val="Important Info"/>
    <w:basedOn w:val="Normal"/>
    <w:link w:val="ImportantInfoChar"/>
    <w:qFormat/>
    <w:rsid w:val="00105F9F"/>
    <w:pPr>
      <w:pBdr>
        <w:left w:val="single" w:sz="36" w:space="4" w:color="002060"/>
      </w:pBdr>
      <w:shd w:val="clear" w:color="auto" w:fill="D9D9D9" w:themeFill="background1" w:themeFillShade="D9"/>
    </w:pPr>
    <w:rPr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680D"/>
    <w:rPr>
      <w:color w:val="605E5C"/>
      <w:shd w:val="clear" w:color="auto" w:fill="E1DFDD"/>
    </w:rPr>
  </w:style>
  <w:style w:type="character" w:customStyle="1" w:styleId="ImportantInfoChar">
    <w:name w:val="Important Info Char"/>
    <w:basedOn w:val="DefaultParagraphFont"/>
    <w:link w:val="ImportantInfo"/>
    <w:rsid w:val="00105F9F"/>
    <w:rPr>
      <w:bCs/>
      <w:shd w:val="clear" w:color="auto" w:fill="D9D9D9" w:themeFill="background1" w:themeFillShade="D9"/>
    </w:rPr>
  </w:style>
  <w:style w:type="character" w:styleId="FollowedHyperlink">
    <w:name w:val="FollowedHyperlink"/>
    <w:basedOn w:val="DefaultParagraphFont"/>
    <w:uiPriority w:val="99"/>
    <w:semiHidden/>
    <w:unhideWhenUsed/>
    <w:rsid w:val="00CE680D"/>
    <w:rPr>
      <w:color w:val="4147D3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B2701"/>
    <w:pPr>
      <w:widowControl w:val="0"/>
      <w:autoSpaceDE w:val="0"/>
      <w:autoSpaceDN w:val="0"/>
      <w:spacing w:before="119" w:after="0"/>
      <w:ind w:left="117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5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D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15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C3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17/0017/43.0/DLM6888356.html" TargetMode="External"/><Relationship Id="rId13" Type="http://schemas.openxmlformats.org/officeDocument/2006/relationships/hyperlink" Target="http://www.legislation.govt.nz/act/public/2017/0017/43.0/DLM6888357.html" TargetMode="External"/><Relationship Id="rId18" Type="http://schemas.openxmlformats.org/officeDocument/2006/relationships/hyperlink" Target="https://www.legislation.govt.nz/act/public/2020/0031/latest/LMS23223.html?src=q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t.nz/act/public/2017/0017/43.0/DLM6888356.html" TargetMode="External"/><Relationship Id="rId17" Type="http://schemas.openxmlformats.org/officeDocument/2006/relationships/hyperlink" Target="https://www.legislation.govt.nz/act/public/2017/0017/latest/DLM6888357.html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t.nz/act/public/2017/0017/latest/DLM6888356.html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t.nz/act/public/2017/0017/43.0/DLM6888356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govt.nz/act/public/2017/0017/43.0/DLM6888357.html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hyperlink" Target="http://www.legislation.govt.nz/act/public/2017/0017/43.0/DLM6888356.html" TargetMode="External"/><Relationship Id="rId19" Type="http://schemas.openxmlformats.org/officeDocument/2006/relationships/hyperlink" Target="https://www.legislation.govt.nz/act/public/1982/0156/latest/DLM64785.html?src=q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t.nz/act/public/2017/0017/43.0/DLM6888356.html" TargetMode="External"/><Relationship Id="rId14" Type="http://schemas.openxmlformats.org/officeDocument/2006/relationships/hyperlink" Target="https://www.legislation.govt.nz/act/public/2017/0017/latest/DLM6888357.html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47EF17A034A0CB41B3B3C3853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1B96-EADE-4F3F-9DA4-D913D8D3F854}"/>
      </w:docPartPr>
      <w:docPartBody>
        <w:p w:rsidR="00AD11D2" w:rsidRDefault="00AD11D2">
          <w:pPr>
            <w:pStyle w:val="8B347EF17A034A0CB41B3B3C38535141"/>
          </w:pPr>
          <w:r w:rsidRPr="00146A03">
            <w:rPr>
              <w:rStyle w:val="PlaceholderText"/>
            </w:rPr>
            <w:t>[Title]</w:t>
          </w:r>
        </w:p>
      </w:docPartBody>
    </w:docPart>
    <w:docPart>
      <w:docPartPr>
        <w:name w:val="B06F06E46FEA454CB3856D9C1294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CF31-3FB0-4CB9-A8F2-9AE68F1FBBF4}"/>
      </w:docPartPr>
      <w:docPartBody>
        <w:p w:rsidR="00AD11D2" w:rsidRDefault="00AD11D2">
          <w:pPr>
            <w:pStyle w:val="B06F06E46FEA454CB3856D9C1294B839"/>
          </w:pPr>
          <w:r w:rsidRPr="00A555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7C7C3FFFC544B4A994084AB1CC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10A6-A81E-4674-A822-9D9BB6815206}"/>
      </w:docPartPr>
      <w:docPartBody>
        <w:p w:rsidR="00AD11D2" w:rsidRDefault="00AD11D2">
          <w:pPr>
            <w:pStyle w:val="2C7C7C3FFFC544B4A994084AB1CC75BE"/>
          </w:pPr>
          <w:r w:rsidRPr="00A555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D2"/>
    <w:rsid w:val="00061494"/>
    <w:rsid w:val="002373E8"/>
    <w:rsid w:val="002779A8"/>
    <w:rsid w:val="00727EE1"/>
    <w:rsid w:val="00A63897"/>
    <w:rsid w:val="00AD11D2"/>
    <w:rsid w:val="00B30F9D"/>
    <w:rsid w:val="00C52F9A"/>
    <w:rsid w:val="00D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B347EF17A034A0CB41B3B3C38535141">
    <w:name w:val="8B347EF17A034A0CB41B3B3C38535141"/>
  </w:style>
  <w:style w:type="paragraph" w:customStyle="1" w:styleId="B06F06E46FEA454CB3856D9C1294B839">
    <w:name w:val="B06F06E46FEA454CB3856D9C1294B839"/>
  </w:style>
  <w:style w:type="paragraph" w:customStyle="1" w:styleId="2C7C7C3FFFC544B4A994084AB1CC75BE">
    <w:name w:val="2C7C7C3FFFC544B4A994084AB1CC7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ENZ">
  <a:themeElements>
    <a:clrScheme name="Fire and Emergency">
      <a:dk1>
        <a:sysClr val="windowText" lastClr="000000"/>
      </a:dk1>
      <a:lt1>
        <a:sysClr val="window" lastClr="FFFFFF"/>
      </a:lt1>
      <a:dk2>
        <a:srgbClr val="180F5E"/>
      </a:dk2>
      <a:lt2>
        <a:srgbClr val="FFFFFF"/>
      </a:lt2>
      <a:accent1>
        <a:srgbClr val="ED1C24"/>
      </a:accent1>
      <a:accent2>
        <a:srgbClr val="FFE80E"/>
      </a:accent2>
      <a:accent3>
        <a:srgbClr val="8652A1"/>
      </a:accent3>
      <a:accent4>
        <a:srgbClr val="00AEEF"/>
      </a:accent4>
      <a:accent5>
        <a:srgbClr val="8DC63F"/>
      </a:accent5>
      <a:accent6>
        <a:srgbClr val="F58220"/>
      </a:accent6>
      <a:hlink>
        <a:srgbClr val="4147D3"/>
      </a:hlink>
      <a:folHlink>
        <a:srgbClr val="4147D3"/>
      </a:folHlink>
    </a:clrScheme>
    <a:fontScheme name="FENZ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4E7A3A7C6694EBD322F5DE21389E8" ma:contentTypeVersion="11" ma:contentTypeDescription="Create a new document." ma:contentTypeScope="" ma:versionID="fddfbd42503fade41e291dae723432bd">
  <xsd:schema xmlns:xsd="http://www.w3.org/2001/XMLSchema" xmlns:xs="http://www.w3.org/2001/XMLSchema" xmlns:p="http://schemas.microsoft.com/office/2006/metadata/properties" xmlns:ns2="af1ccd07-a976-4c8e-bce4-b8188fdd5318" xmlns:ns3="1297623b-4cbe-4fe6-bdea-7158a50b7a90" targetNamespace="http://schemas.microsoft.com/office/2006/metadata/properties" ma:root="true" ma:fieldsID="308ce17367e683435491e93b9eb92c83" ns2:_="" ns3:_="">
    <xsd:import namespace="af1ccd07-a976-4c8e-bce4-b8188fdd5318"/>
    <xsd:import namespace="1297623b-4cbe-4fe6-bdea-7158a50b7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cd07-a976-4c8e-bce4-b8188fdd5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b8ce30-a694-4108-9a7f-921c08d0c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623b-4cbe-4fe6-bdea-7158a50b7a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ce8822-bf69-4698-a9c3-ce069f55bc44}" ma:internalName="TaxCatchAll" ma:showField="CatchAllData" ma:web="1297623b-4cbe-4fe6-bdea-7158a50b7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7623b-4cbe-4fe6-bdea-7158a50b7a90" xsi:nil="true"/>
    <lcf76f155ced4ddcb4097134ff3c332f xmlns="af1ccd07-a976-4c8e-bce4-b8188fdd53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18468-5038-423E-85E4-51FA06318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799A9-55DE-4D7A-ABF8-CE7F0736F03A}"/>
</file>

<file path=customXml/itemProps3.xml><?xml version="1.0" encoding="utf-8"?>
<ds:datastoreItem xmlns:ds="http://schemas.openxmlformats.org/officeDocument/2006/customXml" ds:itemID="{55A48323-10D6-48AA-965E-5269345A44DD}"/>
</file>

<file path=customXml/itemProps4.xml><?xml version="1.0" encoding="utf-8"?>
<ds:datastoreItem xmlns:ds="http://schemas.openxmlformats.org/officeDocument/2006/customXml" ds:itemID="{CC5B3F1A-CD8D-434D-A6D9-AB41912030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of levy information and documents</vt:lpstr>
    </vt:vector>
  </TitlesOfParts>
  <Company>Fire and Emergency New Zealand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of levy information and documents</dc:title>
  <dc:subject>Policy</dc:subject>
  <dc:creator>Stewart, Kerry</dc:creator>
  <cp:keywords/>
  <dc:description/>
  <cp:lastModifiedBy>Kokich, Chantel</cp:lastModifiedBy>
  <cp:revision>3</cp:revision>
  <dcterms:created xsi:type="dcterms:W3CDTF">2026-05-17T21:51:00Z</dcterms:created>
  <dcterms:modified xsi:type="dcterms:W3CDTF">2026-05-17T21:52:00Z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dDate">
    <vt:lpwstr>28 March 2019</vt:lpwstr>
  </property>
  <property fmtid="{D5CDD505-2E9C-101B-9397-08002B2CF9AE}" pid="3" name="ndDocumentId">
    <vt:lpwstr>3472-9896-6603</vt:lpwstr>
  </property>
  <property fmtid="{D5CDD505-2E9C-101B-9397-08002B2CF9AE}" pid="4" name="ContentTypeId">
    <vt:lpwstr>0x010100BC34E7A3A7C6694EBD322F5DE21389E8</vt:lpwstr>
  </property>
</Properties>
</file>